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Metodología para la Reconstrucción de Matrices</w:t>
      </w:r>
      <w:r>
        <w:br/>
      </w:r>
      <w:r>
        <w:rPr>
          <w:b/>
          <w:bCs/>
        </w:rPr>
        <w:t xml:space="preserve">Insumo-Producto a partir de Cuadros de Oferta y Utilización</w:t>
      </w:r>
      <w:r>
        <w:br/>
      </w:r>
      <w:r>
        <w:t xml:space="preserve">Argentina, Brasil, México y Uruguay</w:t>
      </w:r>
    </w:p>
    <w:p>
      <w:pPr>
        <w:pStyle w:val="Author"/>
      </w:pPr>
      <w:r>
        <w:t xml:space="preserve">Proyecto</w:t>
      </w:r>
      <w:r>
        <w:t xml:space="preserve"> </w:t>
      </w:r>
      <w:r>
        <w:rPr>
          <w:rStyle w:val="VerbatimChar"/>
        </w:rPr>
        <w:t xml:space="preserve">matrices-mip</w:t>
      </w:r>
    </w:p>
    <w:p>
      <w:pPr>
        <w:pStyle w:val="Date"/>
      </w:pPr>
      <w:r>
        <w:t xml:space="preserve">Corte de datos: junio de 2026</w:t>
      </w:r>
    </w:p>
    <w:p>
      <w:pPr>
        <w:pStyle w:val="AbstractTitle"/>
      </w:pPr>
      <w:r>
        <w:t xml:space="preserve">Abstract</w:t>
      </w:r>
    </w:p>
    <w:p>
      <w:pPr>
        <w:pStyle w:val="Abstract"/>
      </w:pPr>
      <w:r>
        <w:t xml:space="preserve">Este documento describe la metodología empleada para construir y reconstruir</w:t>
      </w:r>
      <w:r>
        <w:t xml:space="preserve"> </w:t>
      </w:r>
      <w:r>
        <w:t xml:space="preserve">una serie de</w:t>
      </w:r>
      <w:r>
        <w:t xml:space="preserve"> </w:t>
      </w:r>
      <w:r>
        <w:rPr>
          <w:b/>
          <w:bCs/>
        </w:rPr>
        <w:t xml:space="preserve">36 matrices insumo-producto (MIP)</w:t>
      </w:r>
      <w:r>
        <w:t xml:space="preserve"> </w:t>
      </w:r>
      <w:r>
        <w:t xml:space="preserve">anuales para cuatro</w:t>
      </w:r>
      <w:r>
        <w:t xml:space="preserve"> </w:t>
      </w:r>
      <w:r>
        <w:t xml:space="preserve">economías latinoamericanas —Argentina, Brasil, México y Uruguay—, así como las</w:t>
      </w:r>
      <w:r>
        <w:t xml:space="preserve"> </w:t>
      </w:r>
      <w:r>
        <w:t xml:space="preserve">fuentes, supuestos, validaciones y límites del trabajo. La serie combina</w:t>
      </w:r>
      <w:r>
        <w:t xml:space="preserve"> </w:t>
      </w:r>
      <w:r>
        <w:t xml:space="preserve">matrices</w:t>
      </w:r>
      <w:r>
        <w:t xml:space="preserve"> </w:t>
      </w:r>
      <w:r>
        <w:rPr>
          <w:i/>
          <w:iCs/>
        </w:rPr>
        <w:t xml:space="preserve">directas</w:t>
      </w:r>
      <w:r>
        <w:t xml:space="preserve"> </w:t>
      </w:r>
      <w:r>
        <w:t xml:space="preserve">(publicadas por las oficinas nacionales de estadística)</w:t>
      </w:r>
      <w:r>
        <w:t xml:space="preserve"> </w:t>
      </w:r>
      <w:r>
        <w:t xml:space="preserve">con matrices</w:t>
      </w:r>
      <w:r>
        <w:t xml:space="preserve"> </w:t>
      </w:r>
      <w:r>
        <w:rPr>
          <w:i/>
          <w:iCs/>
        </w:rPr>
        <w:t xml:space="preserve">reconstruidas</w:t>
      </w:r>
      <w:r>
        <w:t xml:space="preserve"> </w:t>
      </w:r>
      <w:r>
        <w:t xml:space="preserve">a partir de Cuadros de Oferta y Utilización</w:t>
      </w:r>
      <w:r>
        <w:t xml:space="preserve"> </w:t>
      </w:r>
      <w:r>
        <w:t xml:space="preserve">(COU/SUT) bajo el supuesto de tecnología de industria. La notación sigue el</w:t>
      </w:r>
      <w:r>
        <w:t xml:space="preserve"> </w:t>
      </w:r>
      <w:r>
        <w:t xml:space="preserve">marco de la CEPAL para la</w:t>
      </w:r>
      <w:r>
        <w:t xml:space="preserve"> </w:t>
      </w:r>
      <w:r>
        <w:rPr>
          <w:i/>
          <w:iCs/>
        </w:rPr>
        <w:t xml:space="preserve">Matriz Insumo-Producto Extendida Ambientalmente</w:t>
      </w:r>
      <w:r>
        <w:rPr>
          <w:i/>
          <w:iCs/>
        </w:rPr>
        <w:t xml:space="preserve"> </w:t>
      </w:r>
      <w:r>
        <w:rPr>
          <w:i/>
          <w:iCs/>
        </w:rPr>
        <w:t xml:space="preserve">y Huella de Carbono</w:t>
      </w:r>
      <w:r>
        <w:t xml:space="preserve"> </w:t>
      </w:r>
      <w:r>
        <w:t xml:space="preserve">(2025), de modo que la serie quede lista para una eventual</w:t>
      </w:r>
      <w:r>
        <w:t xml:space="preserve"> </w:t>
      </w:r>
      <w:r>
        <w:t xml:space="preserve">extensión ambiental. Se documentan el modelo de Leontief (encadenamientos hacia</w:t>
      </w:r>
      <w:r>
        <w:t xml:space="preserve"> </w:t>
      </w:r>
      <w:r>
        <w:t xml:space="preserve">atrás), el modelo de Ghosh (encadenamientos hacia adelante), los multiplicadores</w:t>
      </w:r>
      <w:r>
        <w:t xml:space="preserve"> </w:t>
      </w:r>
      <w:r>
        <w:t xml:space="preserve">de producción, la validación matemática y la auditoría de cobertura sectorial.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6" w:name="objetivos-y-alcance"/>
    <w:p>
      <w:pPr>
        <w:pStyle w:val="Heading1"/>
      </w:pPr>
      <w:r>
        <w:t xml:space="preserve">Objetivos y Alcance</w:t>
      </w:r>
    </w:p>
    <w:bookmarkStart w:id="9" w:name="objetivo-general"/>
    <w:p>
      <w:pPr>
        <w:pStyle w:val="Heading2"/>
      </w:pPr>
      <w:r>
        <w:t xml:space="preserve">Objetivo general</w:t>
      </w:r>
    </w:p>
    <w:p>
      <w:pPr>
        <w:pStyle w:val="FirstParagraph"/>
      </w:pPr>
      <w:r>
        <w:t xml:space="preserve">Construir, documentar y validar una serie comparable de matrices insumo-producto</w:t>
      </w:r>
      <w:r>
        <w:t xml:space="preserve"> </w:t>
      </w:r>
      <w:r>
        <w:t xml:space="preserve">(MIP) anuales para Argentina, Brasil, México y Uruguay, preservando la</w:t>
      </w:r>
      <w:r>
        <w:t xml:space="preserve"> </w:t>
      </w:r>
      <w:r>
        <w:t xml:space="preserve">trazabilidad completa entre cada matriz publicada, su fuente original y las</w:t>
      </w:r>
      <w:r>
        <w:t xml:space="preserve"> </w:t>
      </w:r>
      <w:r>
        <w:t xml:space="preserve">transformaciones aplicadas.</w:t>
      </w:r>
    </w:p>
    <w:bookmarkEnd w:id="9"/>
    <w:bookmarkStart w:id="10" w:name="objetivos-específicos"/>
    <w:p>
      <w:pPr>
        <w:pStyle w:val="Heading2"/>
      </w:pPr>
      <w:r>
        <w:t xml:space="preserve">Objetivos específicos</w:t>
      </w:r>
    </w:p>
    <w:p>
      <w:pPr>
        <w:numPr>
          <w:ilvl w:val="0"/>
          <w:numId w:val="1001"/>
        </w:numPr>
      </w:pPr>
      <w:r>
        <w:t xml:space="preserve">Reconstruir matrices industria por industria a partir de los Cuadros de</w:t>
      </w:r>
      <w:r>
        <w:t xml:space="preserve"> </w:t>
      </w:r>
      <w:r>
        <w:t xml:space="preserve">Oferta y Utilización (COU) cuando la oficina nacional no publica una MIP</w:t>
      </w:r>
      <w:r>
        <w:t xml:space="preserve"> </w:t>
      </w:r>
      <w:r>
        <w:t xml:space="preserve">simétrica para el año requerido.</w:t>
      </w:r>
    </w:p>
    <w:p>
      <w:pPr>
        <w:numPr>
          <w:ilvl w:val="0"/>
          <w:numId w:val="1001"/>
        </w:numPr>
      </w:pPr>
      <w:r>
        <w:t xml:space="preserve">Incorporar las MIP directas publicadas (México, Uruguay 2016,</w:t>
      </w:r>
      <w:r>
        <w:t xml:space="preserve"> </w:t>
      </w:r>
      <w:r>
        <w:t xml:space="preserve">Argentina 1997) sin alterar sus cifras oficiales, adjuntando el COU de</w:t>
      </w:r>
      <w:r>
        <w:t xml:space="preserve"> </w:t>
      </w:r>
      <w:r>
        <w:t xml:space="preserve">referencia cuando exista.</w:t>
      </w:r>
    </w:p>
    <w:p>
      <w:pPr>
        <w:numPr>
          <w:ilvl w:val="0"/>
          <w:numId w:val="1001"/>
        </w:numPr>
      </w:pPr>
      <w:r>
        <w:t xml:space="preserve">Calcular los coeficientes técnicos, la inversa de Leontief, los</w:t>
      </w:r>
      <w:r>
        <w:t xml:space="preserve"> </w:t>
      </w:r>
      <w:r>
        <w:t xml:space="preserve">coeficientes de Ghosh y los multiplicadores de producción de cada matriz.</w:t>
      </w:r>
    </w:p>
    <w:p>
      <w:pPr>
        <w:numPr>
          <w:ilvl w:val="0"/>
          <w:numId w:val="1001"/>
        </w:numPr>
      </w:pPr>
      <w:r>
        <w:t xml:space="preserve">Validar la consistencia matemática de cada MIP y auditar que ninguna</w:t>
      </w:r>
      <w:r>
        <w:t xml:space="preserve"> </w:t>
      </w:r>
      <w:r>
        <w:t xml:space="preserve">actividad económica de la fuente quede sin representación en la matriz</w:t>
      </w:r>
      <w:r>
        <w:t xml:space="preserve"> </w:t>
      </w:r>
      <w:r>
        <w:t xml:space="preserve">final.</w:t>
      </w:r>
    </w:p>
    <w:p>
      <w:pPr>
        <w:numPr>
          <w:ilvl w:val="0"/>
          <w:numId w:val="1001"/>
        </w:numPr>
      </w:pPr>
      <w:r>
        <w:t xml:space="preserve">Alinear la notación al marco metodológico de la CEPAL para dejar la serie</w:t>
      </w:r>
      <w:r>
        <w:t xml:space="preserve"> </w:t>
      </w:r>
      <w:r>
        <w:t xml:space="preserve">preparada para una extensión ambiental (huella de carbono) futura.</w:t>
      </w:r>
    </w:p>
    <w:bookmarkEnd w:id="10"/>
    <w:bookmarkStart w:id="15" w:name="alcance"/>
    <w:p>
      <w:pPr>
        <w:pStyle w:val="Heading2"/>
      </w:pPr>
      <w:r>
        <w:t xml:space="preserve">Alcance</w:t>
      </w:r>
    </w:p>
    <w:bookmarkStart w:id="11" w:name="alcance-temporal-y-geográfico."/>
    <w:p>
      <w:pPr>
        <w:pStyle w:val="Heading4"/>
      </w:pPr>
      <w:r>
        <w:t xml:space="preserve">Alcance temporal y geográfico.</w:t>
      </w:r>
    </w:p>
    <w:p>
      <w:pPr>
        <w:pStyle w:val="FirstParagraph"/>
      </w:pPr>
      <w:r>
        <w:t xml:space="preserve">La serie cubre cuatro países y abarca desde 1997 (Argentina) hasta 2022</w:t>
      </w:r>
      <w:r>
        <w:t xml:space="preserve"> </w:t>
      </w:r>
      <w:r>
        <w:t xml:space="preserve">(Argentina), con la cobertura por país descrita en el Cuadro </w:t>
      </w:r>
      <w:hyperlink w:anchor="tab:inventario">
        <w:r>
          <w:rPr>
            <w:rStyle w:val="Hyperlink"/>
          </w:rPr>
          <w:t xml:space="preserve">1</w:t>
        </w:r>
      </w:hyperlink>
      <w:r>
        <w:t xml:space="preserve">.</w:t>
      </w:r>
    </w:p>
    <w:bookmarkEnd w:id="11"/>
    <w:bookmarkStart w:id="12" w:name="alcance-sectorial."/>
    <w:p>
      <w:pPr>
        <w:pStyle w:val="Heading4"/>
      </w:pPr>
      <w:r>
        <w:t xml:space="preserve">Alcance sectorial.</w:t>
      </w:r>
    </w:p>
    <w:p>
      <w:pPr>
        <w:pStyle w:val="FirstParagraph"/>
      </w:pPr>
      <w:r>
        <w:t xml:space="preserve">El nivel de desagregación lo fija cada fuente nacional y varía por año: Brasil a</w:t>
      </w:r>
      <w:r>
        <w:t xml:space="preserve"> </w:t>
      </w:r>
      <w:r>
        <w:t xml:space="preserve">51 actividades (base 2000) o 68 (nivel SCN/IBGE 2010–2021); Argentina entre 107</w:t>
      </w:r>
      <w:r>
        <w:t xml:space="preserve"> </w:t>
      </w:r>
      <w:r>
        <w:t xml:space="preserve">y 162; México entre 20 (2003) y 262–263 (rama SCIAN); Uruguay entre 95 y 128. No</w:t>
      </w:r>
      <w:r>
        <w:t xml:space="preserve"> </w:t>
      </w:r>
      <w:r>
        <w:t xml:space="preserve">se fuerza una clasificación común entre países: cada matriz conserva la</w:t>
      </w:r>
      <w:r>
        <w:t xml:space="preserve"> </w:t>
      </w:r>
      <w:r>
        <w:t xml:space="preserve">desagregación de su fuente.</w:t>
      </w:r>
    </w:p>
    <w:bookmarkEnd w:id="12"/>
    <w:bookmarkStart w:id="13" w:name="alcance-de-las-fuentes."/>
    <w:p>
      <w:pPr>
        <w:pStyle w:val="Heading4"/>
      </w:pPr>
      <w:r>
        <w:t xml:space="preserve">Alcance de las fuentes.</w:t>
      </w:r>
    </w:p>
    <w:p>
      <w:pPr>
        <w:pStyle w:val="FirstParagraph"/>
      </w:pPr>
      <w:r>
        <w:t xml:space="preserve">Todas las fuentes son oficiales: INDEC (Argentina), IBGE (Brasil), INEGI</w:t>
      </w:r>
      <w:r>
        <w:t xml:space="preserve"> </w:t>
      </w:r>
      <w:r>
        <w:t xml:space="preserve">(México) y BCU (Uruguay), complementadas por el repositorio COU/MIP de la CEPAL.</w:t>
      </w:r>
      <w:r>
        <w:t xml:space="preserve"> </w:t>
      </w:r>
      <w:r>
        <w:t xml:space="preserve">El detalle por país está en la Sección </w:t>
      </w:r>
      <w:hyperlink w:anchor="sec:fuentes">
        <w:r>
          <w:rPr>
            <w:rStyle w:val="Hyperlink"/>
          </w:rPr>
          <w:t xml:space="preserve">5</w:t>
        </w:r>
      </w:hyperlink>
      <w:r>
        <w:t xml:space="preserve">.</w:t>
      </w:r>
    </w:p>
    <w:bookmarkEnd w:id="13"/>
    <w:bookmarkStart w:id="14" w:name="lo-que-este-trabajo-no-incluye-aún."/>
    <w:p>
      <w:pPr>
        <w:pStyle w:val="Heading4"/>
      </w:pPr>
      <w:r>
        <w:t xml:space="preserve">Lo que este trabajo NO incluye (aún).</w:t>
      </w:r>
    </w:p>
    <w:p>
      <w:pPr>
        <w:pStyle w:val="FirstParagraph"/>
      </w:pPr>
      <w:r>
        <w:t xml:space="preserve">La extensión ambiental (matrices de presiones, intensidades de emisión y huella</w:t>
      </w:r>
      <w:r>
        <w:t xml:space="preserve"> </w:t>
      </w:r>
      <w:r>
        <w:t xml:space="preserve">de carbono) se describe como marco de referencia en la</w:t>
      </w:r>
      <w:r>
        <w:t xml:space="preserve"> </w:t>
      </w:r>
      <w:r>
        <w:t xml:space="preserve">Sección </w:t>
      </w:r>
      <w:hyperlink w:anchor="sec:ambiental">
        <w:r>
          <w:rPr>
            <w:rStyle w:val="Hyperlink"/>
          </w:rPr>
          <w:t xml:space="preserve">9</w:t>
        </w:r>
      </w:hyperlink>
      <w:r>
        <w:t xml:space="preserve"> </w:t>
      </w:r>
      <w:r>
        <w:t xml:space="preserve">pero</w:t>
      </w:r>
      <w:r>
        <w:t xml:space="preserve"> </w:t>
      </w:r>
      <w:r>
        <w:rPr>
          <w:i/>
          <w:iCs/>
        </w:rPr>
        <w:t xml:space="preserve">no</w:t>
      </w:r>
      <w:r>
        <w:t xml:space="preserve"> </w:t>
      </w:r>
      <w:r>
        <w:t xml:space="preserve">se estima, porque todavía no se</w:t>
      </w:r>
      <w:r>
        <w:t xml:space="preserve"> </w:t>
      </w:r>
      <w:r>
        <w:t xml:space="preserve">dispone de vectores de emisiones por sector para estos cuatro países.</w:t>
      </w:r>
    </w:p>
    <w:bookmarkEnd w:id="14"/>
    <w:bookmarkEnd w:id="15"/>
    <w:bookmarkEnd w:id="16"/>
    <w:bookmarkStart w:id="31" w:name="conceptos-básicos-y-notación"/>
    <w:p>
      <w:pPr>
        <w:pStyle w:val="Heading1"/>
      </w:pPr>
      <w:r>
        <w:t xml:space="preserve">Conceptos Básicos y Notación</w:t>
      </w:r>
    </w:p>
    <w:p>
      <w:pPr>
        <w:pStyle w:val="FirstParagraph"/>
      </w:pPr>
      <w:r>
        <w:t xml:space="preserve">Sea</w:t>
      </w:r>
      <w:r>
        <w:t xml:space="preserve"> </w:t>
      </w:r>
      <m:oMath>
        <m:r>
          <m:t>n</m:t>
        </m:r>
      </m:oMath>
      <w:r>
        <w:t xml:space="preserve"> </w:t>
      </w:r>
      <w:r>
        <w:t xml:space="preserve">el número de actividades económicas de una economía. La MIP describe los</w:t>
      </w:r>
      <w:r>
        <w:t xml:space="preserve"> </w:t>
      </w:r>
      <w:r>
        <w:t xml:space="preserve">flujos monetarios entre actividades para un año dado.</w:t>
      </w:r>
    </w:p>
    <w:bookmarkStart w:id="19" w:name="estructura-de-la-matriz-insumo-producto"/>
    <w:p>
      <w:pPr>
        <w:pStyle w:val="Heading2"/>
      </w:pPr>
      <w:r>
        <w:t xml:space="preserve">Estructura de la matriz insumo-producto</w:t>
      </w:r>
    </w:p>
    <w:bookmarkStart w:id="17" w:name="matriz-de-consumo-intermedio."/>
    <w:p>
      <w:pPr>
        <w:pStyle w:val="Heading4"/>
      </w:pPr>
      <w:r>
        <w:t xml:space="preserve">Matriz de consumo intermedio.</w:t>
      </w:r>
    </w:p>
    <w:p>
      <w:pPr>
        <w:pStyle w:val="FirstParagraph"/>
      </w:pPr>
      <m:oMathPara>
        <m:oMathParaPr>
          <m:jc m:val="center"/>
        </m:oMathParaPr>
        <m:oMath>
          <m:r>
            <m:t>Z</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z</m:t>
                        </m:r>
                      </m:e>
                      <m:sub>
                        <m:r>
                          <m:t>11</m:t>
                        </m:r>
                      </m:sub>
                    </m:sSub>
                  </m:e>
                  <m:e>
                    <m:sSub>
                      <m:e>
                        <m:r>
                          <m:t>z</m:t>
                        </m:r>
                      </m:e>
                      <m:sub>
                        <m:r>
                          <m:t>12</m:t>
                        </m:r>
                      </m:sub>
                    </m:sSub>
                  </m:e>
                  <m:e>
                    <m:r>
                      <m:rPr>
                        <m:sty m:val="p"/>
                      </m:rPr>
                      <m:t>⋯</m:t>
                    </m:r>
                  </m:e>
                  <m:e>
                    <m:sSub>
                      <m:e>
                        <m:r>
                          <m:t>z</m:t>
                        </m:r>
                      </m:e>
                      <m:sub>
                        <m:r>
                          <m:t>1</m:t>
                        </m:r>
                        <m:r>
                          <m:t>n</m:t>
                        </m:r>
                      </m:sub>
                    </m:sSub>
                  </m:e>
                </m:mr>
                <m:mr>
                  <m:e>
                    <m:sSub>
                      <m:e>
                        <m:r>
                          <m:t>z</m:t>
                        </m:r>
                      </m:e>
                      <m:sub>
                        <m:r>
                          <m:t>21</m:t>
                        </m:r>
                      </m:sub>
                    </m:sSub>
                  </m:e>
                  <m:e>
                    <m:sSub>
                      <m:e>
                        <m:r>
                          <m:t>z</m:t>
                        </m:r>
                      </m:e>
                      <m:sub>
                        <m:r>
                          <m:t>22</m:t>
                        </m:r>
                      </m:sub>
                    </m:sSub>
                  </m:e>
                  <m:e>
                    <m:r>
                      <m:rPr>
                        <m:sty m:val="p"/>
                      </m:rPr>
                      <m:t>⋯</m:t>
                    </m:r>
                  </m:e>
                  <m:e>
                    <m:sSub>
                      <m:e>
                        <m:r>
                          <m:t>z</m:t>
                        </m:r>
                      </m:e>
                      <m:sub>
                        <m:r>
                          <m:t>2</m:t>
                        </m:r>
                        <m:r>
                          <m:t>n</m:t>
                        </m:r>
                      </m:sub>
                    </m:sSub>
                  </m:e>
                </m:mr>
                <m:mr>
                  <m:e>
                    <m:r>
                      <m:rPr>
                        <m:sty m:val="p"/>
                      </m:rPr>
                      <m:t>⋮</m:t>
                    </m:r>
                  </m:e>
                  <m:e>
                    <m:r>
                      <m:rPr>
                        <m:sty m:val="p"/>
                      </m:rPr>
                      <m:t>⋮</m:t>
                    </m:r>
                  </m:e>
                  <m:e>
                    <m:r>
                      <m:rPr>
                        <m:sty m:val="p"/>
                      </m:rPr>
                      <m:t>⋱</m:t>
                    </m:r>
                  </m:e>
                  <m:e>
                    <m:r>
                      <m:rPr>
                        <m:sty m:val="p"/>
                      </m:rPr>
                      <m:t>⋮</m:t>
                    </m:r>
                  </m:e>
                </m:mr>
                <m:mr>
                  <m:e>
                    <m:sSub>
                      <m:e>
                        <m:r>
                          <m:t>z</m:t>
                        </m:r>
                      </m:e>
                      <m:sub>
                        <m:r>
                          <m:t>n</m:t>
                        </m:r>
                        <m:r>
                          <m:t>1</m:t>
                        </m:r>
                      </m:sub>
                    </m:sSub>
                  </m:e>
                  <m:e>
                    <m:sSub>
                      <m:e>
                        <m:r>
                          <m:t>z</m:t>
                        </m:r>
                      </m:e>
                      <m:sub>
                        <m:r>
                          <m:t>n</m:t>
                        </m:r>
                        <m:r>
                          <m:t>2</m:t>
                        </m:r>
                      </m:sub>
                    </m:sSub>
                  </m:e>
                  <m:e>
                    <m:r>
                      <m:rPr>
                        <m:sty m:val="p"/>
                      </m:rPr>
                      <m:t>⋯</m:t>
                    </m:r>
                  </m:e>
                  <m:e>
                    <m:sSub>
                      <m:e>
                        <m:r>
                          <m:t>z</m:t>
                        </m:r>
                      </m:e>
                      <m:sub>
                        <m:r>
                          <m:t>n</m:t>
                        </m:r>
                        <m:r>
                          <m:t>n</m:t>
                        </m:r>
                      </m:sub>
                    </m:sSub>
                  </m:e>
                </m:mr>
              </m:m>
            </m:e>
          </m:d>
          <m:r>
            <m:rPr>
              <m:sty m:val="p"/>
            </m:rPr>
            <m:t>∈</m:t>
          </m:r>
          <m:sSup>
            <m:e>
              <m:r>
                <m:rPr>
                  <m:scr m:val="double-struck"/>
                  <m:sty m:val="p"/>
                </m:rPr>
                <m:t>R</m:t>
              </m:r>
            </m:e>
            <m:sup>
              <m:r>
                <m:t>n</m:t>
              </m:r>
              <m:r>
                <m:rPr>
                  <m:sty m:val="p"/>
                </m:rPr>
                <m:t>×</m:t>
              </m:r>
              <m:r>
                <m:t>n</m:t>
              </m:r>
            </m:sup>
          </m:sSup>
          <m:r>
            <m:rPr>
              <m:sty m:val="p"/>
            </m:rPr>
            <m:t>,</m:t>
          </m:r>
        </m:oMath>
      </m:oMathPara>
    </w:p>
    <w:p>
      <w:pPr>
        <w:pStyle w:val="FirstParagraph"/>
      </w:pPr>
      <w:r>
        <w:t xml:space="preserve">donde</w:t>
      </w:r>
      <w:r>
        <w:t xml:space="preserve"> </w:t>
      </w:r>
      <m:oMath>
        <m:sSub>
          <m:e>
            <m:r>
              <m:t>z</m:t>
            </m:r>
          </m:e>
          <m:sub>
            <m:r>
              <m:t>i</m:t>
            </m:r>
            <m:r>
              <m:t>j</m:t>
            </m:r>
          </m:sub>
        </m:sSub>
      </m:oMath>
      <w:r>
        <w:t xml:space="preserve"> </w:t>
      </w:r>
      <w:r>
        <w:t xml:space="preserve">es el valor del producto de la actividad</w:t>
      </w:r>
      <w:r>
        <w:t xml:space="preserve"> </w:t>
      </w:r>
      <m:oMath>
        <m:r>
          <m:t>i</m:t>
        </m:r>
      </m:oMath>
      <w:r>
        <w:t xml:space="preserve"> </w:t>
      </w:r>
      <w:r>
        <w:t xml:space="preserve">usado como insumo por</w:t>
      </w:r>
      <w:r>
        <w:t xml:space="preserve"> </w:t>
      </w:r>
      <w:r>
        <w:t xml:space="preserve">la actividad</w:t>
      </w:r>
      <w:r>
        <w:t xml:space="preserve"> </w:t>
      </w:r>
      <m:oMath>
        <m:r>
          <m:t>j</m:t>
        </m:r>
      </m:oMath>
      <w:r>
        <w:t xml:space="preserve">.</w:t>
      </w:r>
    </w:p>
    <w:bookmarkEnd w:id="17"/>
    <w:bookmarkStart w:id="18" w:name="vectores-económicos."/>
    <w:p>
      <w:pPr>
        <w:pStyle w:val="Heading4"/>
      </w:pPr>
      <w:r>
        <w:t xml:space="preserve">Vectores económicos.</w:t>
      </w:r>
    </w:p>
    <w:p>
      <w:pPr>
        <w:pStyle w:val="FirstParagraph"/>
      </w:pPr>
      <w:r>
        <w:t xml:space="preserve">El vector de</w:t>
      </w:r>
      <w:r>
        <w:t xml:space="preserve"> </w:t>
      </w:r>
      <w:r>
        <w:rPr>
          <w:b/>
          <w:bCs/>
        </w:rPr>
        <w:t xml:space="preserve">producción bruta</w:t>
      </w:r>
      <w:r>
        <w:t xml:space="preserve"> </w:t>
      </w:r>
      <m:oMath>
        <m:r>
          <m:t>x</m:t>
        </m:r>
        <m:r>
          <m:rPr>
            <m:sty m:val="p"/>
          </m:rPr>
          <m:t>∈</m:t>
        </m:r>
        <m:sSup>
          <m:e>
            <m:r>
              <m:rPr>
                <m:scr m:val="double-struck"/>
                <m:sty m:val="p"/>
              </m:rPr>
              <m:t>R</m:t>
            </m:r>
          </m:e>
          <m:sup>
            <m:r>
              <m:t>n</m:t>
            </m:r>
          </m:sup>
        </m:sSup>
      </m:oMath>
      <w:r>
        <w:t xml:space="preserve">, la</w:t>
      </w:r>
      <w:r>
        <w:t xml:space="preserve"> </w:t>
      </w:r>
      <w:r>
        <w:rPr>
          <w:b/>
          <w:bCs/>
        </w:rPr>
        <w:t xml:space="preserve">demanda final</w:t>
      </w:r>
      <w:r>
        <w:t xml:space="preserve"> </w:t>
      </w:r>
      <m:oMath>
        <m:r>
          <m:t>y</m:t>
        </m:r>
        <m:r>
          <m:rPr>
            <m:sty m:val="p"/>
          </m:rPr>
          <m:t>∈</m:t>
        </m:r>
        <m:sSup>
          <m:e>
            <m:r>
              <m:rPr>
                <m:scr m:val="double-struck"/>
                <m:sty m:val="p"/>
              </m:rPr>
              <m:t>R</m:t>
            </m:r>
          </m:e>
          <m:sup>
            <m:r>
              <m:t>n</m:t>
            </m:r>
          </m:sup>
        </m:sSup>
      </m:oMath>
      <w:r>
        <w:t xml:space="preserve"> </w:t>
      </w:r>
      <w:r>
        <w:t xml:space="preserve">y el</w:t>
      </w:r>
      <w:r>
        <w:t xml:space="preserve"> </w:t>
      </w:r>
      <w:r>
        <w:rPr>
          <w:b/>
          <w:bCs/>
        </w:rPr>
        <w:t xml:space="preserve">valor agregado</w:t>
      </w:r>
      <w:r>
        <w:t xml:space="preserve"> </w:t>
      </w:r>
      <m:oMath>
        <m:r>
          <m:t>v</m:t>
        </m:r>
        <m:r>
          <m:rPr>
            <m:sty m:val="p"/>
          </m:rPr>
          <m:t>∈</m:t>
        </m:r>
        <m:sSup>
          <m:e>
            <m:r>
              <m:rPr>
                <m:scr m:val="double-struck"/>
                <m:sty m:val="p"/>
              </m:rPr>
              <m:t>R</m:t>
            </m:r>
          </m:e>
          <m:sup>
            <m:r>
              <m:t>n</m:t>
            </m:r>
          </m:sup>
        </m:sSup>
      </m:oMath>
      <w:r>
        <w:t xml:space="preserve"> </w:t>
      </w:r>
      <w:r>
        <w:t xml:space="preserve">satisfacen</w:t>
      </w:r>
    </w:p>
    <w:p>
      <w:pPr>
        <w:pStyle w:val="BodyText"/>
      </w:pPr>
      <m:oMathPara>
        <m:oMathParaPr>
          <m:jc m:val="center"/>
        </m:oMathParaPr>
        <m:oMath>
          <m:sSub>
            <m:e>
              <m:r>
                <m:t>y</m:t>
              </m:r>
            </m:e>
            <m:sub>
              <m:r>
                <m:t>i</m:t>
              </m:r>
            </m:sub>
          </m:sSub>
          <m:r>
            <m:rPr>
              <m:sty m:val="p"/>
            </m:rPr>
            <m:t>=</m:t>
          </m:r>
          <m:sSub>
            <m:e>
              <m:r>
                <m:t>C</m:t>
              </m:r>
            </m:e>
            <m:sub>
              <m:r>
                <m:t>i</m:t>
              </m:r>
            </m:sub>
          </m:sSub>
          <m:r>
            <m:rPr>
              <m:sty m:val="p"/>
            </m:rPr>
            <m:t>+</m:t>
          </m:r>
          <m:sSub>
            <m:e>
              <m:r>
                <m:t>G</m:t>
              </m:r>
            </m:e>
            <m:sub>
              <m:r>
                <m:t>i</m:t>
              </m:r>
            </m:sub>
          </m:sSub>
          <m:r>
            <m:rPr>
              <m:sty m:val="p"/>
            </m:rPr>
            <m:t>+</m:t>
          </m:r>
          <m:sSub>
            <m:e>
              <m:r>
                <m:t>I</m:t>
              </m:r>
            </m:e>
            <m:sub>
              <m:r>
                <m:t>i</m:t>
              </m:r>
            </m:sub>
          </m:sSub>
          <m:r>
            <m:rPr>
              <m:sty m:val="p"/>
            </m:rPr>
            <m:t>+</m:t>
          </m:r>
          <m:sSub>
            <m:e>
              <m:r>
                <m:t>X</m:t>
              </m:r>
            </m:e>
            <m:sub>
              <m:r>
                <m:t>i</m:t>
              </m:r>
            </m:sub>
          </m:sSub>
          <m:r>
            <m:rPr>
              <m:sty m:val="p"/>
            </m:rPr>
            <m:t>−</m:t>
          </m:r>
          <m:sSub>
            <m:e>
              <m:r>
                <m:t>M</m:t>
              </m:r>
            </m:e>
            <m:sub>
              <m:r>
                <m:t>i</m:t>
              </m:r>
            </m:sub>
          </m:sSub>
          <m:r>
            <m:rPr>
              <m:sty m:val="p"/>
            </m:rPr>
            <m:t>,</m:t>
          </m:r>
        </m:oMath>
      </m:oMathPara>
    </w:p>
    <w:p>
      <w:pPr>
        <w:pStyle w:val="FirstParagraph"/>
      </w:pPr>
      <w:r>
        <w:t xml:space="preserve">con</w:t>
      </w:r>
      <w:r>
        <w:t xml:space="preserve"> </w:t>
      </w:r>
      <m:oMath>
        <m:r>
          <m:t>C</m:t>
        </m:r>
      </m:oMath>
      <w:r>
        <w:t xml:space="preserve"> </w:t>
      </w:r>
      <w:r>
        <w:t xml:space="preserve">consumo de hogares,</w:t>
      </w:r>
      <w:r>
        <w:t xml:space="preserve"> </w:t>
      </w:r>
      <m:oMath>
        <m:r>
          <m:t>G</m:t>
        </m:r>
      </m:oMath>
      <w:r>
        <w:t xml:space="preserve"> </w:t>
      </w:r>
      <w:r>
        <w:t xml:space="preserve">consumo de gobierno,</w:t>
      </w:r>
      <w:r>
        <w:t xml:space="preserve"> </w:t>
      </w:r>
      <m:oMath>
        <m:r>
          <m:t>I</m:t>
        </m:r>
      </m:oMath>
      <w:r>
        <w:t xml:space="preserve"> </w:t>
      </w:r>
      <w:r>
        <w:t xml:space="preserve">formación bruta de</w:t>
      </w:r>
      <w:r>
        <w:t xml:space="preserve"> </w:t>
      </w:r>
      <w:r>
        <w:t xml:space="preserve">capital,</w:t>
      </w:r>
      <w:r>
        <w:t xml:space="preserve"> </w:t>
      </w:r>
      <m:oMath>
        <m:r>
          <m:t>X</m:t>
        </m:r>
      </m:oMath>
      <w:r>
        <w:t xml:space="preserve"> </w:t>
      </w:r>
      <w:r>
        <w:t xml:space="preserve">exportaciones y</w:t>
      </w:r>
      <w:r>
        <w:t xml:space="preserve"> </w:t>
      </w:r>
      <m:oMath>
        <m:r>
          <m:t>M</m:t>
        </m:r>
      </m:oMath>
      <w:r>
        <w:t xml:space="preserve"> </w:t>
      </w:r>
      <w:r>
        <w:t xml:space="preserve">importaciones. La matriz diagonal de producción</w:t>
      </w:r>
      <w:r>
        <w:t xml:space="preserve"> </w:t>
      </w:r>
      <w:r>
        <w:t xml:space="preserve">es</w:t>
      </w:r>
      <w:r>
        <w:t xml:space="preserve"> </w:t>
      </w:r>
      <m:oMath>
        <m:acc>
          <m:accPr>
            <m:chr m:val="̂"/>
          </m:accPr>
          <m:e>
            <m:r>
              <m:t>X</m:t>
            </m:r>
          </m:e>
        </m:acc>
        <m:r>
          <m:rPr>
            <m:sty m:val="p"/>
          </m:rPr>
          <m:t>=</m:t>
        </m:r>
        <m:r>
          <m:rPr>
            <m:sty m:val="p"/>
          </m:rPr>
          <m:t>diag</m:t>
        </m:r>
        <m:r>
          <m:rPr>
            <m:sty m:val="p"/>
          </m:rPr>
          <m:t>(</m:t>
        </m:r>
        <m:r>
          <m:t>x</m:t>
        </m:r>
        <m:r>
          <m:rPr>
            <m:sty m:val="p"/>
          </m:rPr>
          <m:t>)</m:t>
        </m:r>
      </m:oMath>
      <w:r>
        <w:t xml:space="preserve">.</w:t>
      </w:r>
    </w:p>
    <w:bookmarkEnd w:id="18"/>
    <w:bookmarkEnd w:id="19"/>
    <w:bookmarkStart w:id="20" w:name="balance-básico"/>
    <w:p>
      <w:pPr>
        <w:pStyle w:val="Heading2"/>
      </w:pPr>
      <w:r>
        <w:t xml:space="preserve">Balance básico</w:t>
      </w:r>
    </w:p>
    <w:p>
      <w:pPr>
        <w:pStyle w:val="FirstParagraph"/>
      </w:pPr>
      <w:r>
        <w:t xml:space="preserve">El equilibrio contable de la economía establece que la producción de cada</w:t>
      </w:r>
      <w:r>
        <w:t xml:space="preserve"> </w:t>
      </w:r>
      <w:r>
        <w:t xml:space="preserve">actividad iguala su uso intermedio más su demanda final:</w:t>
      </w:r>
    </w:p>
    <w:p>
      <w:pPr>
        <w:pStyle w:val="BodyText"/>
      </w:pPr>
      <m:oMathPara>
        <m:oMathParaPr>
          <m:jc m:val="center"/>
        </m:oMathParaPr>
        <m:oMath>
          <m:sSub>
            <m:e>
              <m:r>
                <m:t>x</m:t>
              </m:r>
            </m:e>
            <m:sub>
              <m:r>
                <m:t>i</m:t>
              </m:r>
            </m:sub>
          </m:sSub>
          <m:r>
            <m:rPr>
              <m:sty m:val="p"/>
            </m:rPr>
            <m:t>=</m:t>
          </m:r>
          <m:nary>
            <m:naryPr>
              <m:chr m:val="∑"/>
              <m:limLoc m:val="undOvr"/>
              <m:subHide m:val="off"/>
              <m:supHide m:val="off"/>
            </m:naryPr>
            <m:sub>
              <m:r>
                <m:t>j</m:t>
              </m:r>
              <m:r>
                <m:rPr>
                  <m:sty m:val="p"/>
                </m:rPr>
                <m:t>=</m:t>
              </m:r>
              <m:r>
                <m:t>1</m:t>
              </m:r>
            </m:sub>
            <m:sup>
              <m:r>
                <m:t>n</m:t>
              </m:r>
            </m:sup>
            <m:e>
              <m:sSub>
                <m:e>
                  <m:r>
                    <m:t>z</m:t>
                  </m:r>
                </m:e>
                <m:sub>
                  <m:r>
                    <m:t>i</m:t>
                  </m:r>
                  <m:r>
                    <m:t>j</m:t>
                  </m:r>
                </m:sub>
              </m:sSub>
            </m:e>
          </m:nary>
          <m:r>
            <m:rPr>
              <m:sty m:val="p"/>
            </m:rPr>
            <m:t>+</m:t>
          </m:r>
          <m:sSub>
            <m:e>
              <m:r>
                <m:t>y</m:t>
              </m:r>
            </m:e>
            <m:sub>
              <m:r>
                <m:t>i</m:t>
              </m:r>
            </m:sub>
          </m:sSub>
          <m:r>
            <m:rPr>
              <m:sty m:val="p"/>
            </m:rPr>
            <m:t>,</m:t>
          </m:r>
          <m:r>
            <m:t>  </m:t>
          </m:r>
          <m:r>
            <m:rPr>
              <m:nor/>
              <m:sty m:val="p"/>
            </m:rPr>
            <m:t>o en forma matricial</m:t>
          </m:r>
          <m:r>
            <m:t>  </m:t>
          </m:r>
          <m:r>
            <m:t>x</m:t>
          </m:r>
          <m:r>
            <m:rPr>
              <m:sty m:val="p"/>
            </m:rPr>
            <m:t>=</m:t>
          </m:r>
          <m:r>
            <m:t>Z</m:t>
          </m:r>
          <m:r>
            <m:t> </m:t>
          </m:r>
          <m:r>
            <m:rPr>
              <m:sty m:val="b"/>
            </m:rPr>
            <m:t>1</m:t>
          </m:r>
          <m:r>
            <m:rPr>
              <m:sty m:val="p"/>
            </m:rPr>
            <m:t>+</m:t>
          </m:r>
          <m:r>
            <m:t>y</m:t>
          </m:r>
          <m:r>
            <m:rPr>
              <m:sty m:val="p"/>
            </m:rPr>
            <m:t>,</m:t>
          </m:r>
        </m:oMath>
      </m:oMathPara>
    </w:p>
    <w:p>
      <w:pPr>
        <w:pStyle w:val="FirstParagraph"/>
      </w:pPr>
      <w:r>
        <w:t xml:space="preserve">donde</w:t>
      </w:r>
      <w:r>
        <w:t xml:space="preserve"> </w:t>
      </w:r>
      <m:oMath>
        <m:r>
          <m:rPr>
            <m:sty m:val="b"/>
          </m:rPr>
          <m:t>1</m:t>
        </m:r>
        <m:r>
          <m:rPr>
            <m:sty m:val="p"/>
          </m:rPr>
          <m:t>=</m:t>
        </m:r>
        <m:r>
          <m:rPr>
            <m:sty m:val="p"/>
          </m:rPr>
          <m:t>[</m:t>
        </m:r>
        <m:r>
          <m:t>1</m:t>
        </m:r>
        <m:r>
          <m:rPr>
            <m:sty m:val="p"/>
          </m:rPr>
          <m:t>,</m:t>
        </m:r>
        <m:r>
          <m:rPr>
            <m:sty m:val="p"/>
          </m:rPr>
          <m:t>…</m:t>
        </m:r>
        <m:r>
          <m:rPr>
            <m:sty m:val="p"/>
          </m:rPr>
          <m:t>,</m:t>
        </m:r>
        <m:r>
          <m:t>1</m:t>
        </m:r>
        <m:sSup>
          <m:e>
            <m:r>
              <m:rPr>
                <m:sty m:val="p"/>
              </m:rPr>
              <m:t>]</m:t>
            </m:r>
          </m:e>
          <m:sup>
            <m:r>
              <m:t>T</m:t>
            </m:r>
          </m:sup>
        </m:sSup>
      </m:oMath>
      <w:r>
        <w:t xml:space="preserve">. Por columnas, la producción iguala el</w:t>
      </w:r>
      <w:r>
        <w:t xml:space="preserve"> </w:t>
      </w:r>
      <w:r>
        <w:t xml:space="preserve">consumo intermedio más el valor agregado:</w:t>
      </w:r>
      <w:r>
        <w:t xml:space="preserve"> </w:t>
      </w:r>
      <m:oMath>
        <m:sSub>
          <m:e>
            <m:r>
              <m:t>x</m:t>
            </m:r>
          </m:e>
          <m:sub>
            <m:r>
              <m:t>j</m:t>
            </m:r>
          </m:sub>
        </m:sSub>
        <m:r>
          <m:rPr>
            <m:sty m:val="p"/>
          </m:rPr>
          <m:t>=</m:t>
        </m:r>
        <m:nary>
          <m:naryPr>
            <m:chr m:val="∑"/>
            <m:limLoc m:val="undOvr"/>
            <m:subHide m:val="off"/>
            <m:supHide m:val="on"/>
          </m:naryPr>
          <m:sub>
            <m:r>
              <m:t>i</m:t>
            </m:r>
          </m:sub>
          <m:sup>
            <m:r>
              <m:t>​</m:t>
            </m:r>
          </m:sup>
          <m:e>
            <m:sSub>
              <m:e>
                <m:r>
                  <m:t>z</m:t>
                </m:r>
              </m:e>
              <m:sub>
                <m:r>
                  <m:t>i</m:t>
                </m:r>
                <m:r>
                  <m:t>j</m:t>
                </m:r>
              </m:sub>
            </m:sSub>
          </m:e>
        </m:nary>
        <m:r>
          <m:rPr>
            <m:sty m:val="p"/>
          </m:rPr>
          <m:t>+</m:t>
        </m:r>
        <m:sSub>
          <m:e>
            <m:r>
              <m:t>v</m:t>
            </m:r>
          </m:e>
          <m:sub>
            <m:r>
              <m:t>j</m:t>
            </m:r>
          </m:sub>
        </m:sSub>
      </m:oMath>
      <w:r>
        <w:t xml:space="preserve">.</w:t>
      </w:r>
    </w:p>
    <w:bookmarkEnd w:id="20"/>
    <w:bookmarkStart w:id="23" w:name="X2cfb22b62619efbbe27270fc84cec29f6ae7906"/>
    <w:p>
      <w:pPr>
        <w:pStyle w:val="Heading2"/>
      </w:pPr>
      <w:r>
        <w:t xml:space="preserve">Modelo de Leontief: encadenamientos hacia atrás</w:t>
      </w:r>
    </w:p>
    <w:bookmarkStart w:id="21" w:name="coeficientes-técnicos."/>
    <w:p>
      <w:pPr>
        <w:pStyle w:val="Heading4"/>
      </w:pPr>
      <w:r>
        <w:t xml:space="preserve">Coeficientes técnicos.</w:t>
      </w:r>
    </w:p>
    <w:p>
      <w:pPr>
        <w:pStyle w:val="FirstParagraph"/>
      </w:pPr>
      <m:oMathPara>
        <m:oMathParaPr>
          <m:jc m:val="center"/>
        </m:oMathParaPr>
        <m:oMath>
          <m:sSub>
            <m:e>
              <m:r>
                <m:t>a</m:t>
              </m:r>
            </m:e>
            <m:sub>
              <m:r>
                <m:t>i</m:t>
              </m:r>
              <m:r>
                <m:t>j</m:t>
              </m:r>
            </m:sub>
          </m:sSub>
          <m:r>
            <m:rPr>
              <m:sty m:val="p"/>
            </m:rPr>
            <m:t>=</m:t>
          </m:r>
          <m:f>
            <m:fPr>
              <m:type m:val="bar"/>
            </m:fPr>
            <m:num>
              <m:sSub>
                <m:e>
                  <m:r>
                    <m:t>z</m:t>
                  </m:r>
                </m:e>
                <m:sub>
                  <m:r>
                    <m:t>i</m:t>
                  </m:r>
                  <m:r>
                    <m:t>j</m:t>
                  </m:r>
                </m:sub>
              </m:sSub>
            </m:num>
            <m:den>
              <m:sSub>
                <m:e>
                  <m:r>
                    <m:t>x</m:t>
                  </m:r>
                </m:e>
                <m:sub>
                  <m:r>
                    <m:t>j</m:t>
                  </m:r>
                </m:sub>
              </m:sSub>
            </m:den>
          </m:f>
          <m:r>
            <m:rPr>
              <m:sty m:val="p"/>
            </m:rPr>
            <m:t>,</m:t>
          </m:r>
          <m:r>
            <m:t>  </m:t>
          </m:r>
          <m:r>
            <m:t>A</m:t>
          </m:r>
          <m:r>
            <m:rPr>
              <m:sty m:val="p"/>
            </m:rPr>
            <m:t>=</m:t>
          </m:r>
          <m:r>
            <m:t>Z</m:t>
          </m:r>
          <m:r>
            <m:t> </m:t>
          </m:r>
          <m:sSup>
            <m:e>
              <m:acc>
                <m:accPr>
                  <m:chr m:val="̂"/>
                </m:accPr>
                <m:e>
                  <m:r>
                    <m:t>X</m:t>
                  </m:r>
                </m:e>
              </m:acc>
            </m:e>
            <m:sup>
              <m:r>
                <m:rPr>
                  <m:sty m:val="p"/>
                </m:rPr>
                <m:t>−</m:t>
              </m:r>
              <m:r>
                <m:t>1</m:t>
              </m:r>
            </m:sup>
          </m:sSup>
          <m:r>
            <m:rPr>
              <m:sty m:val="p"/>
            </m:rPr>
            <m:t>∈</m:t>
          </m:r>
          <m:sSup>
            <m:e>
              <m:r>
                <m:rPr>
                  <m:scr m:val="double-struck"/>
                  <m:sty m:val="p"/>
                </m:rPr>
                <m:t>R</m:t>
              </m:r>
            </m:e>
            <m:sup>
              <m:r>
                <m:t>n</m:t>
              </m:r>
              <m:r>
                <m:rPr>
                  <m:sty m:val="p"/>
                </m:rPr>
                <m:t>×</m:t>
              </m:r>
              <m:r>
                <m:t>n</m:t>
              </m:r>
            </m:sup>
          </m:sSup>
          <m:r>
            <m:rPr>
              <m:sty m:val="p"/>
            </m:rPr>
            <m:t>.</m:t>
          </m:r>
        </m:oMath>
      </m:oMathPara>
    </w:p>
    <w:p>
      <w:pPr>
        <w:pStyle w:val="FirstParagraph"/>
      </w:pPr>
      <w:r>
        <w:t xml:space="preserve">El coeficiente</w:t>
      </w:r>
      <w:r>
        <w:t xml:space="preserve"> </w:t>
      </w:r>
      <m:oMath>
        <m:sSub>
          <m:e>
            <m:r>
              <m:t>a</m:t>
            </m:r>
          </m:e>
          <m:sub>
            <m:r>
              <m:t>i</m:t>
            </m:r>
            <m:r>
              <m:t>j</m:t>
            </m:r>
          </m:sub>
        </m:sSub>
      </m:oMath>
      <w:r>
        <w:t xml:space="preserve"> </w:t>
      </w:r>
      <w:r>
        <w:t xml:space="preserve">indica cuántas unidades monetarias del producto</w:t>
      </w:r>
      <w:r>
        <w:t xml:space="preserve"> </w:t>
      </w:r>
      <m:oMath>
        <m:r>
          <m:t>i</m:t>
        </m:r>
      </m:oMath>
      <w:r>
        <w:t xml:space="preserve"> </w:t>
      </w:r>
      <w:r>
        <w:t xml:space="preserve">se</w:t>
      </w:r>
      <w:r>
        <w:t xml:space="preserve"> </w:t>
      </w:r>
      <w:r>
        <w:t xml:space="preserve">requieren para producir una unidad monetaria del producto</w:t>
      </w:r>
      <w:r>
        <w:t xml:space="preserve"> </w:t>
      </w:r>
      <m:oMath>
        <m:r>
          <m:t>j</m:t>
        </m:r>
      </m:oMath>
      <w:r>
        <w:t xml:space="preserve">.</w:t>
      </w:r>
    </w:p>
    <w:bookmarkEnd w:id="21"/>
    <w:bookmarkStart w:id="22" w:name="Xc01aca995b64a5fb7656449f47621da8010e17b"/>
    <w:p>
      <w:pPr>
        <w:pStyle w:val="Heading4"/>
      </w:pPr>
      <w:r>
        <w:t xml:space="preserve">Ecuación fundamental e inversa de Leontief.</w:t>
      </w:r>
    </w:p>
    <w:p>
      <w:pPr>
        <w:pStyle w:val="FirstParagraph"/>
      </w:pPr>
      <w:r>
        <w:t xml:space="preserve">Sustituyendo</w:t>
      </w:r>
      <w:r>
        <w:t xml:space="preserve"> </w:t>
      </w:r>
      <m:oMath>
        <m:r>
          <m:t>Z</m:t>
        </m:r>
        <m:r>
          <m:rPr>
            <m:sty m:val="p"/>
          </m:rPr>
          <m:t>=</m:t>
        </m:r>
        <m:r>
          <m:t>A</m:t>
        </m:r>
        <m:acc>
          <m:accPr>
            <m:chr m:val="̂"/>
          </m:accPr>
          <m:e>
            <m:r>
              <m:t>X</m:t>
            </m:r>
          </m:e>
        </m:acc>
      </m:oMath>
      <w:r>
        <w:t xml:space="preserve"> </w:t>
      </w:r>
      <w:r>
        <w:t xml:space="preserve">en</w:t>
      </w:r>
      <w:r>
        <w:t xml:space="preserve"> </w:t>
      </w:r>
      <w:hyperlink w:anchor="eq:balance">
        <w:r>
          <w:rPr>
            <w:rStyle w:val="Hyperlink"/>
          </w:rPr>
          <w:t xml:space="preserve">[eq:balance]</w:t>
        </w:r>
      </w:hyperlink>
      <w:r>
        <w:t xml:space="preserve"> </w:t>
      </w:r>
      <w:r>
        <w:t xml:space="preserve">se obtiene</w:t>
      </w:r>
      <w:r>
        <w:t xml:space="preserve"> </w:t>
      </w:r>
      <m:oMath>
        <m:r>
          <m:t>x</m:t>
        </m:r>
        <m:r>
          <m:rPr>
            <m:sty m:val="p"/>
          </m:rPr>
          <m:t>=</m:t>
        </m:r>
        <m:r>
          <m:t>A</m:t>
        </m:r>
        <m:r>
          <m:t>x</m:t>
        </m:r>
        <m:r>
          <m:rPr>
            <m:sty m:val="p"/>
          </m:rPr>
          <m:t>+</m:t>
        </m:r>
        <m:r>
          <m:t>y</m:t>
        </m:r>
      </m:oMath>
      <w:r>
        <w:t xml:space="preserve">, de donde</w:t>
      </w:r>
    </w:p>
    <w:p>
      <w:pPr>
        <w:pStyle w:val="BodyText"/>
      </w:pPr>
      <m:oMathPara>
        <m:oMathParaPr>
          <m:jc m:val="center"/>
        </m:oMathParaPr>
        <m:oMath>
          <m:r>
            <m:rPr>
              <m:sty m:val="p"/>
            </m:rPr>
            <m:t>(</m:t>
          </m:r>
          <m:r>
            <m:t>I</m:t>
          </m:r>
          <m:r>
            <m:rPr>
              <m:sty m:val="p"/>
            </m:rPr>
            <m:t>−</m:t>
          </m:r>
          <m:r>
            <m:t>A</m:t>
          </m:r>
          <m:r>
            <m:rPr>
              <m:sty m:val="p"/>
            </m:rPr>
            <m:t>)</m:t>
          </m:r>
          <m:r>
            <m:t> </m:t>
          </m:r>
          <m:r>
            <m:t>x</m:t>
          </m:r>
          <m:r>
            <m:rPr>
              <m:sty m:val="p"/>
            </m:rPr>
            <m:t>=</m:t>
          </m:r>
          <m:r>
            <m:t>y</m:t>
          </m:r>
          <m:r>
            <m:t>  </m:t>
          </m:r>
          <m:r>
            <m:rPr>
              <m:sty m:val="p"/>
            </m:rPr>
            <m:t>⇒</m:t>
          </m:r>
          <m:r>
            <m:t>  </m:t>
          </m:r>
          <m:r>
            <m:t>x</m:t>
          </m:r>
          <m:r>
            <m:rPr>
              <m:sty m:val="p"/>
            </m:rPr>
            <m:t>=</m:t>
          </m:r>
          <m:r>
            <m:rPr>
              <m:sty m:val="p"/>
            </m:rPr>
            <m:t>(</m:t>
          </m:r>
          <m:r>
            <m:t>I</m:t>
          </m:r>
          <m:r>
            <m:rPr>
              <m:sty m:val="p"/>
            </m:rPr>
            <m:t>−</m:t>
          </m:r>
          <m:r>
            <m:t>A</m:t>
          </m:r>
          <m:sSup>
            <m:e>
              <m:r>
                <m:rPr>
                  <m:sty m:val="p"/>
                </m:rPr>
                <m:t>)</m:t>
              </m:r>
            </m:e>
            <m:sup>
              <m:r>
                <m:rPr>
                  <m:sty m:val="p"/>
                </m:rPr>
                <m:t>−</m:t>
              </m:r>
              <m:r>
                <m:t>1</m:t>
              </m:r>
            </m:sup>
          </m:sSup>
          <m:r>
            <m:t>y</m:t>
          </m:r>
          <m:r>
            <m:rPr>
              <m:sty m:val="p"/>
            </m:rPr>
            <m:t>=</m:t>
          </m:r>
          <m:r>
            <m:t>L</m:t>
          </m:r>
          <m:r>
            <m:t> </m:t>
          </m:r>
          <m:r>
            <m:t>y</m:t>
          </m:r>
          <m:r>
            <m:rPr>
              <m:sty m:val="p"/>
            </m:rPr>
            <m:t>,</m:t>
          </m:r>
        </m:oMath>
      </m:oMathPara>
    </w:p>
    <w:p>
      <w:pPr>
        <w:pStyle w:val="FirstParagraph"/>
      </w:pPr>
      <m:oMathPara>
        <m:oMathParaPr>
          <m:jc m:val="center"/>
        </m:oMathParaPr>
        <m:oMath>
          <m:r>
            <m:t>L</m:t>
          </m:r>
          <m:r>
            <m:rPr>
              <m:sty m:val="p"/>
            </m:rPr>
            <m:t>=</m:t>
          </m:r>
          <m:r>
            <m:rPr>
              <m:sty m:val="p"/>
            </m:rPr>
            <m:t>(</m:t>
          </m:r>
          <m:r>
            <m:t>I</m:t>
          </m:r>
          <m:r>
            <m:rPr>
              <m:sty m:val="p"/>
            </m:rPr>
            <m:t>−</m:t>
          </m:r>
          <m:r>
            <m:t>A</m:t>
          </m:r>
          <m:sSup>
            <m:e>
              <m:r>
                <m:rPr>
                  <m:sty m:val="p"/>
                </m:rPr>
                <m:t>)</m:t>
              </m:r>
            </m:e>
            <m:sup>
              <m:r>
                <m:rPr>
                  <m:sty m:val="p"/>
                </m:rPr>
                <m:t>−</m:t>
              </m:r>
              <m:r>
                <m:t>1</m:t>
              </m:r>
            </m:sup>
          </m:sSup>
          <m:r>
            <m:rPr>
              <m:sty m:val="p"/>
            </m:rPr>
            <m:t>∈</m:t>
          </m:r>
          <m:sSup>
            <m:e>
              <m:r>
                <m:rPr>
                  <m:scr m:val="double-struck"/>
                  <m:sty m:val="p"/>
                </m:rPr>
                <m:t>R</m:t>
              </m:r>
            </m:e>
            <m:sup>
              <m:r>
                <m:t>n</m:t>
              </m:r>
              <m:r>
                <m:rPr>
                  <m:sty m:val="p"/>
                </m:rPr>
                <m:t>×</m:t>
              </m:r>
              <m:r>
                <m:t>n</m:t>
              </m:r>
            </m:sup>
          </m:sSup>
          <m:r>
            <m:rPr>
              <m:sty m:val="p"/>
            </m:rPr>
            <m:t>.</m:t>
          </m:r>
        </m:oMath>
      </m:oMathPara>
    </w:p>
    <w:p>
      <w:pPr>
        <w:pStyle w:val="FirstParagraph"/>
      </w:pPr>
      <w:r>
        <w:t xml:space="preserve">El elemento</w:t>
      </w:r>
      <w:r>
        <w:t xml:space="preserve"> </w:t>
      </w:r>
      <m:oMath>
        <m:sSub>
          <m:e>
            <m:r>
              <m:t>l</m:t>
            </m:r>
          </m:e>
          <m:sub>
            <m:r>
              <m:t>i</m:t>
            </m:r>
            <m:r>
              <m:t>j</m:t>
            </m:r>
          </m:sub>
        </m:sSub>
      </m:oMath>
      <w:r>
        <w:t xml:space="preserve"> </w:t>
      </w:r>
      <w:r>
        <w:t xml:space="preserve">representa la producción total —directa e indirecta— del</w:t>
      </w:r>
      <w:r>
        <w:t xml:space="preserve"> </w:t>
      </w:r>
      <w:r>
        <w:t xml:space="preserve">sector</w:t>
      </w:r>
      <w:r>
        <w:t xml:space="preserve"> </w:t>
      </w:r>
      <m:oMath>
        <m:r>
          <m:t>i</m:t>
        </m:r>
      </m:oMath>
      <w:r>
        <w:t xml:space="preserve"> </w:t>
      </w:r>
      <w:r>
        <w:t xml:space="preserve">necesaria para satisfacer una unidad de demanda final del sector</w:t>
      </w:r>
      <w:r>
        <w:t xml:space="preserve"> </w:t>
      </w:r>
      <m:oMath>
        <m:r>
          <m:t>j</m:t>
        </m:r>
      </m:oMath>
      <w:r>
        <w:t xml:space="preserve">.</w:t>
      </w:r>
    </w:p>
    <w:bookmarkEnd w:id="22"/>
    <w:bookmarkEnd w:id="23"/>
    <w:bookmarkStart w:id="26" w:name="X11fa4da70ecd2df8541792771a8f6889c15f8d2"/>
    <w:p>
      <w:pPr>
        <w:pStyle w:val="Heading2"/>
      </w:pPr>
      <w:r>
        <w:t xml:space="preserve">Modelo de Ghosh: encadenamientos hacia adelante</w:t>
      </w:r>
    </w:p>
    <w:bookmarkStart w:id="24" w:name="coeficientes-de-distribución."/>
    <w:p>
      <w:pPr>
        <w:pStyle w:val="Heading4"/>
      </w:pPr>
      <w:r>
        <w:t xml:space="preserve">Coeficientes de distribución.</w:t>
      </w:r>
    </w:p>
    <w:p>
      <w:pPr>
        <w:pStyle w:val="FirstParagraph"/>
      </w:pPr>
      <m:oMathPara>
        <m:oMathParaPr>
          <m:jc m:val="center"/>
        </m:oMathParaPr>
        <m:oMath>
          <m:sSub>
            <m:e>
              <m:r>
                <m:t>b</m:t>
              </m:r>
            </m:e>
            <m:sub>
              <m:r>
                <m:t>i</m:t>
              </m:r>
              <m:r>
                <m:t>j</m:t>
              </m:r>
            </m:sub>
          </m:sSub>
          <m:r>
            <m:rPr>
              <m:sty m:val="p"/>
            </m:rPr>
            <m:t>=</m:t>
          </m:r>
          <m:f>
            <m:fPr>
              <m:type m:val="bar"/>
            </m:fPr>
            <m:num>
              <m:sSub>
                <m:e>
                  <m:r>
                    <m:t>z</m:t>
                  </m:r>
                </m:e>
                <m:sub>
                  <m:r>
                    <m:t>i</m:t>
                  </m:r>
                  <m:r>
                    <m:t>j</m:t>
                  </m:r>
                </m:sub>
              </m:sSub>
            </m:num>
            <m:den>
              <m:sSub>
                <m:e>
                  <m:r>
                    <m:t>x</m:t>
                  </m:r>
                </m:e>
                <m:sub>
                  <m:r>
                    <m:t>i</m:t>
                  </m:r>
                </m:sub>
              </m:sSub>
            </m:den>
          </m:f>
          <m:r>
            <m:rPr>
              <m:sty m:val="p"/>
            </m:rPr>
            <m:t>,</m:t>
          </m:r>
          <m:r>
            <m:t>  </m:t>
          </m:r>
          <m:r>
            <m:t>B</m:t>
          </m:r>
          <m:r>
            <m:rPr>
              <m:sty m:val="p"/>
            </m:rPr>
            <m:t>=</m:t>
          </m:r>
          <m:sSup>
            <m:e>
              <m:acc>
                <m:accPr>
                  <m:chr m:val="̂"/>
                </m:accPr>
                <m:e>
                  <m:r>
                    <m:t>X</m:t>
                  </m:r>
                </m:e>
              </m:acc>
            </m:e>
            <m:sup>
              <m:r>
                <m:rPr>
                  <m:sty m:val="p"/>
                </m:rPr>
                <m:t>−</m:t>
              </m:r>
              <m:r>
                <m:t>1</m:t>
              </m:r>
            </m:sup>
          </m:sSup>
          <m:r>
            <m:t>Z</m:t>
          </m:r>
          <m:r>
            <m:rPr>
              <m:sty m:val="p"/>
            </m:rPr>
            <m:t>∈</m:t>
          </m:r>
          <m:sSup>
            <m:e>
              <m:r>
                <m:rPr>
                  <m:scr m:val="double-struck"/>
                  <m:sty m:val="p"/>
                </m:rPr>
                <m:t>R</m:t>
              </m:r>
            </m:e>
            <m:sup>
              <m:r>
                <m:t>n</m:t>
              </m:r>
              <m:r>
                <m:rPr>
                  <m:sty m:val="p"/>
                </m:rPr>
                <m:t>×</m:t>
              </m:r>
              <m:r>
                <m:t>n</m:t>
              </m:r>
            </m:sup>
          </m:sSup>
          <m:r>
            <m:rPr>
              <m:sty m:val="p"/>
            </m:rPr>
            <m:t>,</m:t>
          </m:r>
        </m:oMath>
      </m:oMathPara>
    </w:p>
    <w:p>
      <w:pPr>
        <w:pStyle w:val="FirstParagraph"/>
      </w:pPr>
      <w:r>
        <w:t xml:space="preserve">donde</w:t>
      </w:r>
      <w:r>
        <w:t xml:space="preserve"> </w:t>
      </w:r>
      <m:oMath>
        <m:sSub>
          <m:e>
            <m:r>
              <m:t>b</m:t>
            </m:r>
          </m:e>
          <m:sub>
            <m:r>
              <m:t>i</m:t>
            </m:r>
            <m:r>
              <m:t>j</m:t>
            </m:r>
          </m:sub>
        </m:sSub>
      </m:oMath>
      <w:r>
        <w:t xml:space="preserve"> </w:t>
      </w:r>
      <w:r>
        <w:t xml:space="preserve">es la proporción de la producción del sector</w:t>
      </w:r>
      <w:r>
        <w:t xml:space="preserve"> </w:t>
      </w:r>
      <m:oMath>
        <m:r>
          <m:t>i</m:t>
        </m:r>
      </m:oMath>
      <w:r>
        <w:t xml:space="preserve"> </w:t>
      </w:r>
      <w:r>
        <w:t xml:space="preserve">que se destina al</w:t>
      </w:r>
      <w:r>
        <w:t xml:space="preserve"> </w:t>
      </w:r>
      <w:r>
        <w:t xml:space="preserve">sector</w:t>
      </w:r>
      <w:r>
        <w:t xml:space="preserve"> </w:t>
      </w:r>
      <m:oMath>
        <m:r>
          <m:t>j</m:t>
        </m:r>
      </m:oMath>
      <w:r>
        <w:t xml:space="preserve"> </w:t>
      </w:r>
      <w:r>
        <w:t xml:space="preserve">como insumo.</w:t>
      </w:r>
    </w:p>
    <w:bookmarkEnd w:id="24"/>
    <w:bookmarkStart w:id="25" w:name="inversa-de-ghosh."/>
    <w:p>
      <w:pPr>
        <w:pStyle w:val="Heading4"/>
      </w:pPr>
      <w:r>
        <w:t xml:space="preserve">Inversa de Ghosh.</w:t>
      </w:r>
    </w:p>
    <w:p>
      <w:pPr>
        <w:pStyle w:val="FirstParagraph"/>
      </w:pPr>
      <m:oMathPara>
        <m:oMathParaPr>
          <m:jc m:val="center"/>
        </m:oMathParaPr>
        <m:oMath>
          <m:r>
            <m:t>G</m:t>
          </m:r>
          <m:r>
            <m:rPr>
              <m:sty m:val="p"/>
            </m:rPr>
            <m:t>=</m:t>
          </m:r>
          <m:r>
            <m:rPr>
              <m:sty m:val="p"/>
            </m:rPr>
            <m:t>(</m:t>
          </m:r>
          <m:r>
            <m:t>I</m:t>
          </m:r>
          <m:r>
            <m:rPr>
              <m:sty m:val="p"/>
            </m:rPr>
            <m:t>−</m:t>
          </m:r>
          <m:r>
            <m:t>B</m:t>
          </m:r>
          <m:sSup>
            <m:e>
              <m:r>
                <m:rPr>
                  <m:sty m:val="p"/>
                </m:rPr>
                <m:t>)</m:t>
              </m:r>
            </m:e>
            <m:sup>
              <m:r>
                <m:rPr>
                  <m:sty m:val="p"/>
                </m:rPr>
                <m:t>−</m:t>
              </m:r>
              <m:r>
                <m:t>1</m:t>
              </m:r>
            </m:sup>
          </m:sSup>
          <m:r>
            <m:rPr>
              <m:sty m:val="p"/>
            </m:rPr>
            <m:t>∈</m:t>
          </m:r>
          <m:sSup>
            <m:e>
              <m:r>
                <m:rPr>
                  <m:scr m:val="double-struck"/>
                  <m:sty m:val="p"/>
                </m:rPr>
                <m:t>R</m:t>
              </m:r>
            </m:e>
            <m:sup>
              <m:r>
                <m:t>n</m:t>
              </m:r>
              <m:r>
                <m:rPr>
                  <m:sty m:val="p"/>
                </m:rPr>
                <m:t>×</m:t>
              </m:r>
              <m:r>
                <m:t>n</m:t>
              </m:r>
            </m:sup>
          </m:sSup>
          <m:r>
            <m:rPr>
              <m:sty m:val="p"/>
            </m:rPr>
            <m:t>.</m:t>
          </m:r>
        </m:oMath>
      </m:oMathPara>
    </w:p>
    <w:p>
      <w:pPr>
        <w:pStyle w:val="FirstParagraph"/>
      </w:pPr>
      <m:oMath>
        <m:sSub>
          <m:e>
            <m:r>
              <m:t>g</m:t>
            </m:r>
          </m:e>
          <m:sub>
            <m:r>
              <m:t>i</m:t>
            </m:r>
            <m:r>
              <m:t>j</m:t>
            </m:r>
          </m:sub>
        </m:sSub>
      </m:oMath>
      <w:r>
        <w:t xml:space="preserve"> </w:t>
      </w:r>
      <w:r>
        <w:t xml:space="preserve">muestra cómo un cambio en la oferta primaria del sector</w:t>
      </w:r>
      <w:r>
        <w:t xml:space="preserve"> </w:t>
      </w:r>
      <m:oMath>
        <m:r>
          <m:t>i</m:t>
        </m:r>
      </m:oMath>
      <w:r>
        <w:t xml:space="preserve"> </w:t>
      </w:r>
      <w:r>
        <w:t xml:space="preserve">se propaga</w:t>
      </w:r>
      <w:r>
        <w:t xml:space="preserve"> </w:t>
      </w:r>
      <w:r>
        <w:t xml:space="preserve">hacia adelante por toda la cadena productiva.</w:t>
      </w:r>
    </w:p>
    <w:bookmarkEnd w:id="25"/>
    <w:bookmarkEnd w:id="26"/>
    <w:bookmarkStart w:id="29" w:name="multiplicadores-y-encadenamientos"/>
    <w:p>
      <w:pPr>
        <w:pStyle w:val="Heading2"/>
      </w:pPr>
      <w:r>
        <w:t xml:space="preserve">Multiplicadores y encadenamientos</w:t>
      </w:r>
    </w:p>
    <w:bookmarkStart w:id="27" w:name="multiplicador-de-producción."/>
    <w:p>
      <w:pPr>
        <w:pStyle w:val="Heading4"/>
      </w:pPr>
      <w:r>
        <w:t xml:space="preserve">Multiplicador de producción.</w:t>
      </w:r>
    </w:p>
    <w:p>
      <w:pPr>
        <w:pStyle w:val="FirstParagraph"/>
      </w:pPr>
      <m:oMathPara>
        <m:oMathParaPr>
          <m:jc m:val="center"/>
        </m:oMathParaPr>
        <m:oMath>
          <m:r>
            <m:t>M</m:t>
          </m:r>
          <m:sSub>
            <m:e>
              <m:r>
                <m:t>P</m:t>
              </m:r>
            </m:e>
            <m:sub>
              <m:r>
                <m:t>j</m:t>
              </m:r>
            </m:sub>
          </m:sSub>
          <m:r>
            <m:rPr>
              <m:sty m:val="p"/>
            </m:rPr>
            <m:t>=</m:t>
          </m:r>
          <m:nary>
            <m:naryPr>
              <m:chr m:val="∑"/>
              <m:limLoc m:val="undOvr"/>
              <m:subHide m:val="off"/>
              <m:supHide m:val="off"/>
            </m:naryPr>
            <m:sub>
              <m:r>
                <m:t>i</m:t>
              </m:r>
              <m:r>
                <m:rPr>
                  <m:sty m:val="p"/>
                </m:rPr>
                <m:t>=</m:t>
              </m:r>
              <m:r>
                <m:t>1</m:t>
              </m:r>
            </m:sub>
            <m:sup>
              <m:r>
                <m:t>n</m:t>
              </m:r>
            </m:sup>
            <m:e>
              <m:sSub>
                <m:e>
                  <m:r>
                    <m:t>l</m:t>
                  </m:r>
                </m:e>
                <m:sub>
                  <m:r>
                    <m:t>i</m:t>
                  </m:r>
                  <m:r>
                    <m:t>j</m:t>
                  </m:r>
                </m:sub>
              </m:sSub>
            </m:e>
          </m:nary>
          <m:r>
            <m:rPr>
              <m:sty m:val="p"/>
            </m:rPr>
            <m:t>,</m:t>
          </m:r>
        </m:oMath>
      </m:oMathPara>
    </w:p>
    <w:p>
      <w:pPr>
        <w:pStyle w:val="FirstParagraph"/>
      </w:pPr>
      <w:r>
        <w:t xml:space="preserve">mide el efecto total sobre la producción de la economía ante un aumento unitario</w:t>
      </w:r>
      <w:r>
        <w:t xml:space="preserve"> </w:t>
      </w:r>
      <w:r>
        <w:t xml:space="preserve">de la demanda final del sector</w:t>
      </w:r>
      <w:r>
        <w:t xml:space="preserve"> </w:t>
      </w:r>
      <m:oMath>
        <m:r>
          <m:t>j</m:t>
        </m:r>
      </m:oMath>
      <w:r>
        <w:t xml:space="preserve">.</w:t>
      </w:r>
    </w:p>
    <w:bookmarkEnd w:id="27"/>
    <w:bookmarkStart w:id="28" w:name="índices-de-encadenamiento."/>
    <w:p>
      <w:pPr>
        <w:pStyle w:val="Heading4"/>
      </w:pPr>
      <w:r>
        <w:t xml:space="preserve">Índices de encadenamiento.</w:t>
      </w:r>
    </w:p>
    <w:p>
      <w:pPr>
        <w:pStyle w:val="FirstParagraph"/>
      </w:pPr>
      <m:oMathPara>
        <m:oMathParaPr>
          <m:jc m:val="center"/>
        </m:oMathParaPr>
        <m:oMath>
          <m:r>
            <m:t>B</m:t>
          </m:r>
          <m:sSub>
            <m:e>
              <m:r>
                <m:t>L</m:t>
              </m:r>
            </m:e>
            <m:sub>
              <m:r>
                <m:t>j</m:t>
              </m:r>
            </m:sub>
          </m:sSub>
          <m:r>
            <m:rPr>
              <m:sty m:val="p"/>
            </m:rPr>
            <m:t>=</m:t>
          </m:r>
          <m:f>
            <m:fPr>
              <m:type m:val="bar"/>
            </m:fPr>
            <m:num>
              <m:nary>
                <m:naryPr>
                  <m:chr m:val="∑"/>
                  <m:limLoc m:val="undOvr"/>
                  <m:subHide m:val="off"/>
                  <m:supHide m:val="on"/>
                </m:naryPr>
                <m:sub>
                  <m:r>
                    <m:t>i</m:t>
                  </m:r>
                </m:sub>
                <m:sup>
                  <m:r>
                    <m:t>​</m:t>
                  </m:r>
                </m:sup>
                <m:e>
                  <m:sSub>
                    <m:e>
                      <m:r>
                        <m:t>l</m:t>
                      </m:r>
                    </m:e>
                    <m:sub>
                      <m:r>
                        <m:t>i</m:t>
                      </m:r>
                      <m:r>
                        <m:t>j</m:t>
                      </m:r>
                    </m:sub>
                  </m:sSub>
                </m:e>
              </m:nary>
            </m:num>
            <m:den>
              <m:f>
                <m:fPr>
                  <m:type m:val="lin"/>
                </m:fPr>
                <m:num>
                  <m:r>
                    <m:t>1</m:t>
                  </m:r>
                </m:num>
                <m:den>
                  <m:r>
                    <m:t>n</m:t>
                  </m:r>
                </m:den>
              </m:f>
              <m:nary>
                <m:naryPr>
                  <m:chr m:val="∑"/>
                  <m:limLoc m:val="undOvr"/>
                  <m:subHide m:val="off"/>
                  <m:supHide m:val="on"/>
                </m:naryPr>
                <m:sub>
                  <m:r>
                    <m:t>i</m:t>
                  </m:r>
                  <m:r>
                    <m:rPr>
                      <m:sty m:val="p"/>
                    </m:rPr>
                    <m:t>,</m:t>
                  </m:r>
                  <m:r>
                    <m:t>j</m:t>
                  </m:r>
                </m:sub>
                <m:sup>
                  <m:r>
                    <m:t>​</m:t>
                  </m:r>
                </m:sup>
                <m:e>
                  <m:sSub>
                    <m:e>
                      <m:r>
                        <m:t>l</m:t>
                      </m:r>
                    </m:e>
                    <m:sub>
                      <m:r>
                        <m:t>i</m:t>
                      </m:r>
                      <m:r>
                        <m:t>j</m:t>
                      </m:r>
                    </m:sub>
                  </m:sSub>
                </m:e>
              </m:nary>
            </m:den>
          </m:f>
          <m:r>
            <m:rPr>
              <m:sty m:val="p"/>
            </m:rPr>
            <m:t>,</m:t>
          </m:r>
          <m:r>
            <m:t>  </m:t>
          </m:r>
          <m:r>
            <m:t>F</m:t>
          </m:r>
          <m:sSub>
            <m:e>
              <m:r>
                <m:t>L</m:t>
              </m:r>
            </m:e>
            <m:sub>
              <m:r>
                <m:t>i</m:t>
              </m:r>
            </m:sub>
          </m:sSub>
          <m:r>
            <m:rPr>
              <m:sty m:val="p"/>
            </m:rPr>
            <m:t>=</m:t>
          </m:r>
          <m:f>
            <m:fPr>
              <m:type m:val="bar"/>
            </m:fPr>
            <m:num>
              <m:nary>
                <m:naryPr>
                  <m:chr m:val="∑"/>
                  <m:limLoc m:val="undOvr"/>
                  <m:subHide m:val="off"/>
                  <m:supHide m:val="on"/>
                </m:naryPr>
                <m:sub>
                  <m:r>
                    <m:t>j</m:t>
                  </m:r>
                </m:sub>
                <m:sup>
                  <m:r>
                    <m:t>​</m:t>
                  </m:r>
                </m:sup>
                <m:e>
                  <m:sSub>
                    <m:e>
                      <m:r>
                        <m:t>g</m:t>
                      </m:r>
                    </m:e>
                    <m:sub>
                      <m:r>
                        <m:t>i</m:t>
                      </m:r>
                      <m:r>
                        <m:t>j</m:t>
                      </m:r>
                    </m:sub>
                  </m:sSub>
                </m:e>
              </m:nary>
            </m:num>
            <m:den>
              <m:f>
                <m:fPr>
                  <m:type m:val="lin"/>
                </m:fPr>
                <m:num>
                  <m:r>
                    <m:t>1</m:t>
                  </m:r>
                </m:num>
                <m:den>
                  <m:r>
                    <m:t>n</m:t>
                  </m:r>
                </m:den>
              </m:f>
              <m:nary>
                <m:naryPr>
                  <m:chr m:val="∑"/>
                  <m:limLoc m:val="undOvr"/>
                  <m:subHide m:val="off"/>
                  <m:supHide m:val="on"/>
                </m:naryPr>
                <m:sub>
                  <m:r>
                    <m:t>i</m:t>
                  </m:r>
                  <m:r>
                    <m:rPr>
                      <m:sty m:val="p"/>
                    </m:rPr>
                    <m:t>,</m:t>
                  </m:r>
                  <m:r>
                    <m:t>j</m:t>
                  </m:r>
                </m:sub>
                <m:sup>
                  <m:r>
                    <m:t>​</m:t>
                  </m:r>
                </m:sup>
                <m:e>
                  <m:sSub>
                    <m:e>
                      <m:r>
                        <m:t>g</m:t>
                      </m:r>
                    </m:e>
                    <m:sub>
                      <m:r>
                        <m:t>i</m:t>
                      </m:r>
                      <m:r>
                        <m:t>j</m:t>
                      </m:r>
                    </m:sub>
                  </m:sSub>
                </m:e>
              </m:nary>
            </m:den>
          </m:f>
          <m:r>
            <m:rPr>
              <m:sty m:val="p"/>
            </m:rPr>
            <m:t>.</m:t>
          </m:r>
        </m:oMath>
      </m:oMathPara>
    </w:p>
    <w:p>
      <w:pPr>
        <w:pStyle w:val="FirstParagraph"/>
      </w:pPr>
      <m:oMath>
        <m:r>
          <m:t>B</m:t>
        </m:r>
        <m:sSub>
          <m:e>
            <m:r>
              <m:t>L</m:t>
            </m:r>
          </m:e>
          <m:sub>
            <m:r>
              <m:t>j</m:t>
            </m:r>
          </m:sub>
        </m:sSub>
      </m:oMath>
      <w:r>
        <w:t xml:space="preserve"> </w:t>
      </w:r>
      <w:r>
        <w:t xml:space="preserve">(backward linkage) mide el poder de arrastre del sector como demandante;</w:t>
      </w:r>
      <w:r>
        <w:t xml:space="preserve"> </w:t>
      </w:r>
      <m:oMath>
        <m:r>
          <m:t>F</m:t>
        </m:r>
        <m:sSub>
          <m:e>
            <m:r>
              <m:t>L</m:t>
            </m:r>
          </m:e>
          <m:sub>
            <m:r>
              <m:t>i</m:t>
            </m:r>
          </m:sub>
        </m:sSub>
      </m:oMath>
      <w:r>
        <w:t xml:space="preserve"> </w:t>
      </w:r>
      <w:r>
        <w:t xml:space="preserve">(forward linkage) mide su poder de empuje como oferente. La clasificación</w:t>
      </w:r>
      <w:r>
        <w:t xml:space="preserve"> </w:t>
      </w:r>
      <w:r>
        <w:t xml:space="preserve">de sectores resulta de cruzar ambos índices:</w:t>
      </w:r>
    </w:p>
    <w:p>
      <w:pPr>
        <w:numPr>
          <w:ilvl w:val="0"/>
          <w:numId w:val="1002"/>
        </w:numPr>
      </w:pPr>
      <w:r>
        <w:rPr>
          <w:b/>
          <w:bCs/>
        </w:rPr>
        <w:t xml:space="preserve">Clave</w:t>
      </w:r>
      <w:r>
        <w:t xml:space="preserve">:</w:t>
      </w:r>
      <w:r>
        <w:t xml:space="preserve"> </w:t>
      </w:r>
      <m:oMath>
        <m:r>
          <m:t>B</m:t>
        </m:r>
        <m:r>
          <m:t>L</m:t>
        </m:r>
        <m:r>
          <m:rPr>
            <m:sty m:val="p"/>
          </m:rPr>
          <m:t>&gt;</m:t>
        </m:r>
        <m:r>
          <m:t>1</m:t>
        </m:r>
      </m:oMath>
      <w:r>
        <w:t xml:space="preserve"> </w:t>
      </w:r>
      <w:r>
        <w:t xml:space="preserve">y</w:t>
      </w:r>
      <w:r>
        <w:t xml:space="preserve"> </w:t>
      </w:r>
      <m:oMath>
        <m:r>
          <m:t>F</m:t>
        </m:r>
        <m:r>
          <m:t>L</m:t>
        </m:r>
        <m:r>
          <m:rPr>
            <m:sty m:val="p"/>
          </m:rPr>
          <m:t>&gt;</m:t>
        </m:r>
        <m:r>
          <m:t>1</m:t>
        </m:r>
      </m:oMath>
      <w:r>
        <w:t xml:space="preserve">.</w:t>
      </w:r>
    </w:p>
    <w:p>
      <w:pPr>
        <w:numPr>
          <w:ilvl w:val="0"/>
          <w:numId w:val="1002"/>
        </w:numPr>
      </w:pPr>
      <w:r>
        <w:rPr>
          <w:b/>
          <w:bCs/>
        </w:rPr>
        <w:t xml:space="preserve">Estratégico hacia atrás</w:t>
      </w:r>
      <w:r>
        <w:t xml:space="preserve">:</w:t>
      </w:r>
      <w:r>
        <w:t xml:space="preserve"> </w:t>
      </w:r>
      <m:oMath>
        <m:r>
          <m:t>B</m:t>
        </m:r>
        <m:r>
          <m:t>L</m:t>
        </m:r>
        <m:r>
          <m:rPr>
            <m:sty m:val="p"/>
          </m:rPr>
          <m:t>&gt;</m:t>
        </m:r>
        <m:r>
          <m:t>1</m:t>
        </m:r>
      </m:oMath>
      <w:r>
        <w:t xml:space="preserve"> </w:t>
      </w:r>
      <w:r>
        <w:t xml:space="preserve">y</w:t>
      </w:r>
      <w:r>
        <w:t xml:space="preserve"> </w:t>
      </w:r>
      <m:oMath>
        <m:r>
          <m:t>F</m:t>
        </m:r>
        <m:r>
          <m:t>L</m:t>
        </m:r>
        <m:r>
          <m:rPr>
            <m:sty m:val="p"/>
          </m:rPr>
          <m:t>&lt;</m:t>
        </m:r>
        <m:r>
          <m:t>1</m:t>
        </m:r>
      </m:oMath>
      <w:r>
        <w:t xml:space="preserve">.</w:t>
      </w:r>
    </w:p>
    <w:p>
      <w:pPr>
        <w:numPr>
          <w:ilvl w:val="0"/>
          <w:numId w:val="1002"/>
        </w:numPr>
      </w:pPr>
      <w:r>
        <w:rPr>
          <w:b/>
          <w:bCs/>
        </w:rPr>
        <w:t xml:space="preserve">Estratégico hacia adelante</w:t>
      </w:r>
      <w:r>
        <w:t xml:space="preserve">:</w:t>
      </w:r>
      <w:r>
        <w:t xml:space="preserve"> </w:t>
      </w:r>
      <m:oMath>
        <m:r>
          <m:t>B</m:t>
        </m:r>
        <m:r>
          <m:t>L</m:t>
        </m:r>
        <m:r>
          <m:rPr>
            <m:sty m:val="p"/>
          </m:rPr>
          <m:t>&lt;</m:t>
        </m:r>
        <m:r>
          <m:t>1</m:t>
        </m:r>
      </m:oMath>
      <w:r>
        <w:t xml:space="preserve"> </w:t>
      </w:r>
      <w:r>
        <w:t xml:space="preserve">y</w:t>
      </w:r>
      <w:r>
        <w:t xml:space="preserve"> </w:t>
      </w:r>
      <m:oMath>
        <m:r>
          <m:t>F</m:t>
        </m:r>
        <m:r>
          <m:t>L</m:t>
        </m:r>
        <m:r>
          <m:rPr>
            <m:sty m:val="p"/>
          </m:rPr>
          <m:t>&gt;</m:t>
        </m:r>
        <m:r>
          <m:t>1</m:t>
        </m:r>
      </m:oMath>
      <w:r>
        <w:t xml:space="preserve">.</w:t>
      </w:r>
    </w:p>
    <w:p>
      <w:pPr>
        <w:numPr>
          <w:ilvl w:val="0"/>
          <w:numId w:val="1002"/>
        </w:numPr>
      </w:pPr>
      <w:r>
        <w:rPr>
          <w:b/>
          <w:bCs/>
        </w:rPr>
        <w:t xml:space="preserve">Independiente</w:t>
      </w:r>
      <w:r>
        <w:t xml:space="preserve">:</w:t>
      </w:r>
      <w:r>
        <w:t xml:space="preserve"> </w:t>
      </w:r>
      <m:oMath>
        <m:r>
          <m:t>B</m:t>
        </m:r>
        <m:r>
          <m:t>L</m:t>
        </m:r>
        <m:r>
          <m:rPr>
            <m:sty m:val="p"/>
          </m:rPr>
          <m:t>&lt;</m:t>
        </m:r>
        <m:r>
          <m:t>1</m:t>
        </m:r>
      </m:oMath>
      <w:r>
        <w:t xml:space="preserve"> </w:t>
      </w:r>
      <w:r>
        <w:t xml:space="preserve">y</w:t>
      </w:r>
      <w:r>
        <w:t xml:space="preserve"> </w:t>
      </w:r>
      <m:oMath>
        <m:r>
          <m:t>F</m:t>
        </m:r>
        <m:r>
          <m:t>L</m:t>
        </m:r>
        <m:r>
          <m:rPr>
            <m:sty m:val="p"/>
          </m:rPr>
          <m:t>&lt;</m:t>
        </m:r>
        <m:r>
          <m:t>1</m:t>
        </m:r>
      </m:oMath>
      <w:r>
        <w:t xml:space="preserve">.</w:t>
      </w:r>
    </w:p>
    <w:bookmarkEnd w:id="28"/>
    <w:bookmarkEnd w:id="29"/>
    <w:bookmarkStart w:id="30" w:name="resumen-de-notación"/>
    <w:p>
      <w:pPr>
        <w:pStyle w:val="Heading2"/>
      </w:pPr>
      <w:r>
        <w:t xml:space="preserve">Resumen de notación</w:t>
      </w:r>
    </w:p>
    <w:p>
      <w:pPr>
        <w:pStyle w:val="TableCaption"/>
      </w:pPr>
      <w:r>
        <w:t xml:space="preserve">Notación utilizada en el documento.</w:t>
      </w:r>
    </w:p>
    <w:tbl>
      <w:tblPr>
        <w:tblStyle w:val="Table"/>
        <w:tblW w:type="auto" w:w="0"/>
        <w:tblLook w:firstRow="1" w:lastRow="0" w:firstColumn="0" w:lastColumn="0" w:noHBand="0" w:noVBand="0" w:val="0020"/>
        <w:tblCaption w:val="Notación utilizada en el documento."/>
      </w:tblPr>
      <w:tblGrid>
        <w:gridCol w:w="3960"/>
        <w:gridCol w:w="3960"/>
      </w:tblGrid>
      <w:tr>
        <w:trPr>
          <w:tblHeader w:val="on"/>
        </w:trPr>
        <w:tc>
          <w:tcPr/>
          <w:p>
            <w:pPr>
              <w:pStyle w:val="Compact"/>
              <w:jc w:val="center"/>
            </w:pPr>
            <w:r>
              <w:rPr>
                <w:b/>
                <w:bCs/>
              </w:rPr>
              <w:t xml:space="preserve">Símbolo</w:t>
            </w:r>
          </w:p>
        </w:tc>
        <w:tc>
          <w:tcPr/>
          <w:p>
            <w:pPr>
              <w:pStyle w:val="Compact"/>
              <w:jc w:val="left"/>
            </w:pPr>
            <w:r>
              <w:rPr>
                <w:b/>
                <w:bCs/>
              </w:rPr>
              <w:t xml:space="preserve">Descripción</w:t>
            </w:r>
          </w:p>
        </w:tc>
      </w:tr>
      <w:tr>
        <w:tc>
          <w:tcPr/>
          <w:p>
            <w:pPr>
              <w:pStyle w:val="Compact"/>
              <w:jc w:val="center"/>
            </w:pPr>
            <m:oMath>
              <m:r>
                <m:t>n</m:t>
              </m:r>
            </m:oMath>
          </w:p>
        </w:tc>
        <w:tc>
          <w:tcPr/>
          <w:p>
            <w:pPr>
              <w:pStyle w:val="Compact"/>
              <w:jc w:val="left"/>
            </w:pPr>
            <w:r>
              <w:t xml:space="preserve">Número de actividades económicas</w:t>
            </w:r>
          </w:p>
        </w:tc>
      </w:tr>
      <w:tr>
        <w:tc>
          <w:tcPr/>
          <w:p>
            <w:pPr>
              <w:pStyle w:val="Compact"/>
              <w:jc w:val="center"/>
            </w:pPr>
            <m:oMath>
              <m:r>
                <m:t>Z</m:t>
              </m:r>
            </m:oMath>
          </w:p>
        </w:tc>
        <w:tc>
          <w:tcPr/>
          <w:p>
            <w:pPr>
              <w:pStyle w:val="Compact"/>
              <w:jc w:val="left"/>
            </w:pPr>
            <w:r>
              <w:t xml:space="preserve">Matriz de consumo intermedio (</w:t>
            </w:r>
            <m:oMath>
              <m:r>
                <m:t>n</m:t>
              </m:r>
              <m:r>
                <m:rPr>
                  <m:sty m:val="p"/>
                </m:rPr>
                <m:t>×</m:t>
              </m:r>
              <m:r>
                <m:t>n</m:t>
              </m:r>
            </m:oMath>
            <w:r>
              <w:t xml:space="preserve">)</w:t>
            </w:r>
          </w:p>
        </w:tc>
      </w:tr>
      <w:tr>
        <w:tc>
          <w:tcPr/>
          <w:p>
            <w:pPr>
              <w:pStyle w:val="Compact"/>
              <w:jc w:val="center"/>
            </w:pPr>
            <m:oMath>
              <m:r>
                <m:t>x</m:t>
              </m:r>
            </m:oMath>
          </w:p>
        </w:tc>
        <w:tc>
          <w:tcPr/>
          <w:p>
            <w:pPr>
              <w:pStyle w:val="Compact"/>
              <w:jc w:val="left"/>
            </w:pPr>
            <w:r>
              <w:t xml:space="preserve">Vector de producción bruta (</w:t>
            </w:r>
            <m:oMath>
              <m:r>
                <m:t>n</m:t>
              </m:r>
              <m:r>
                <m:rPr>
                  <m:sty m:val="p"/>
                </m:rPr>
                <m:t>×</m:t>
              </m:r>
              <m:r>
                <m:t>1</m:t>
              </m:r>
            </m:oMath>
            <w:r>
              <w:t xml:space="preserve">)</w:t>
            </w:r>
          </w:p>
        </w:tc>
      </w:tr>
      <w:tr>
        <w:tc>
          <w:tcPr/>
          <w:p>
            <w:pPr>
              <w:pStyle w:val="Compact"/>
              <w:jc w:val="center"/>
            </w:pPr>
            <m:oMath>
              <m:r>
                <m:t>y</m:t>
              </m:r>
            </m:oMath>
          </w:p>
        </w:tc>
        <w:tc>
          <w:tcPr/>
          <w:p>
            <w:pPr>
              <w:pStyle w:val="Compact"/>
              <w:jc w:val="left"/>
            </w:pPr>
            <w:r>
              <w:t xml:space="preserve">Vector de demanda final (</w:t>
            </w:r>
            <m:oMath>
              <m:r>
                <m:t>n</m:t>
              </m:r>
              <m:r>
                <m:rPr>
                  <m:sty m:val="p"/>
                </m:rPr>
                <m:t>×</m:t>
              </m:r>
              <m:r>
                <m:t>1</m:t>
              </m:r>
            </m:oMath>
            <w:r>
              <w:t xml:space="preserve">)</w:t>
            </w:r>
          </w:p>
        </w:tc>
      </w:tr>
      <w:tr>
        <w:tc>
          <w:tcPr/>
          <w:p>
            <w:pPr>
              <w:pStyle w:val="Compact"/>
              <w:jc w:val="center"/>
            </w:pPr>
            <m:oMath>
              <m:r>
                <m:t>v</m:t>
              </m:r>
            </m:oMath>
          </w:p>
        </w:tc>
        <w:tc>
          <w:tcPr/>
          <w:p>
            <w:pPr>
              <w:pStyle w:val="Compact"/>
              <w:jc w:val="left"/>
            </w:pPr>
            <w:r>
              <w:t xml:space="preserve">Vector de valor agregado (</w:t>
            </w:r>
            <m:oMath>
              <m:r>
                <m:t>n</m:t>
              </m:r>
              <m:r>
                <m:rPr>
                  <m:sty m:val="p"/>
                </m:rPr>
                <m:t>×</m:t>
              </m:r>
              <m:r>
                <m:t>1</m:t>
              </m:r>
            </m:oMath>
            <w:r>
              <w:t xml:space="preserve">)</w:t>
            </w:r>
          </w:p>
        </w:tc>
      </w:tr>
      <w:tr>
        <w:tc>
          <w:tcPr/>
          <w:p>
            <w:pPr>
              <w:pStyle w:val="Compact"/>
              <w:jc w:val="center"/>
            </w:pPr>
            <m:oMath>
              <m:acc>
                <m:accPr>
                  <m:chr m:val="̂"/>
                </m:accPr>
                <m:e>
                  <m:r>
                    <m:t>X</m:t>
                  </m:r>
                </m:e>
              </m:acc>
            </m:oMath>
          </w:p>
        </w:tc>
        <w:tc>
          <w:tcPr/>
          <w:p>
            <w:pPr>
              <w:pStyle w:val="Compact"/>
              <w:jc w:val="left"/>
            </w:pPr>
            <w:r>
              <w:t xml:space="preserve">Matriz diagonal de producción,</w:t>
            </w:r>
            <w:r>
              <w:t xml:space="preserve"> </w:t>
            </w:r>
            <m:oMath>
              <m:r>
                <m:rPr>
                  <m:sty m:val="p"/>
                </m:rPr>
                <m:t>diag</m:t>
              </m:r>
              <m:r>
                <m:rPr>
                  <m:sty m:val="p"/>
                </m:rPr>
                <m:t>(</m:t>
              </m:r>
              <m:r>
                <m:t>x</m:t>
              </m:r>
              <m:r>
                <m:rPr>
                  <m:sty m:val="p"/>
                </m:rPr>
                <m:t>)</m:t>
              </m:r>
            </m:oMath>
          </w:p>
        </w:tc>
      </w:tr>
      <w:tr>
        <w:tc>
          <w:tcPr/>
          <w:p>
            <w:pPr>
              <w:pStyle w:val="Compact"/>
              <w:jc w:val="center"/>
            </w:pPr>
            <m:oMath>
              <m:r>
                <m:t>A</m:t>
              </m:r>
            </m:oMath>
          </w:p>
        </w:tc>
        <w:tc>
          <w:tcPr/>
          <w:p>
            <w:pPr>
              <w:pStyle w:val="Compact"/>
              <w:jc w:val="left"/>
            </w:pPr>
            <w:r>
              <w:t xml:space="preserve">Coeficientes técnicos,</w:t>
            </w:r>
            <w:r>
              <w:t xml:space="preserve"> </w:t>
            </w:r>
            <m:oMath>
              <m:r>
                <m:t>A</m:t>
              </m:r>
              <m:r>
                <m:rPr>
                  <m:sty m:val="p"/>
                </m:rPr>
                <m:t>=</m:t>
              </m:r>
              <m:r>
                <m:t>Z</m:t>
              </m:r>
              <m:sSup>
                <m:e>
                  <m:acc>
                    <m:accPr>
                      <m:chr m:val="̂"/>
                    </m:accPr>
                    <m:e>
                      <m:r>
                        <m:t>X</m:t>
                      </m:r>
                    </m:e>
                  </m:acc>
                </m:e>
                <m:sup>
                  <m:r>
                    <m:rPr>
                      <m:sty m:val="p"/>
                    </m:rPr>
                    <m:t>−</m:t>
                  </m:r>
                  <m:r>
                    <m:t>1</m:t>
                  </m:r>
                </m:sup>
              </m:sSup>
            </m:oMath>
          </w:p>
        </w:tc>
      </w:tr>
      <w:tr>
        <w:tc>
          <w:tcPr/>
          <w:p>
            <w:pPr>
              <w:pStyle w:val="Compact"/>
              <w:jc w:val="center"/>
            </w:pPr>
            <m:oMath>
              <m:r>
                <m:t>L</m:t>
              </m:r>
            </m:oMath>
          </w:p>
        </w:tc>
        <w:tc>
          <w:tcPr/>
          <w:p>
            <w:pPr>
              <w:pStyle w:val="Compact"/>
              <w:jc w:val="left"/>
            </w:pPr>
            <w:r>
              <w:t xml:space="preserve">Inversa de Leontief,</w:t>
            </w:r>
            <w:r>
              <w:t xml:space="preserve"> </w:t>
            </w:r>
            <m:oMath>
              <m:r>
                <m:t>L</m:t>
              </m:r>
              <m:r>
                <m:rPr>
                  <m:sty m:val="p"/>
                </m:rPr>
                <m:t>=</m:t>
              </m:r>
              <m:r>
                <m:rPr>
                  <m:sty m:val="p"/>
                </m:rPr>
                <m:t>(</m:t>
              </m:r>
              <m:r>
                <m:t>I</m:t>
              </m:r>
              <m:r>
                <m:rPr>
                  <m:sty m:val="p"/>
                </m:rPr>
                <m:t>−</m:t>
              </m:r>
              <m:r>
                <m:t>A</m:t>
              </m:r>
              <m:sSup>
                <m:e>
                  <m:r>
                    <m:rPr>
                      <m:sty m:val="p"/>
                    </m:rPr>
                    <m:t>)</m:t>
                  </m:r>
                </m:e>
                <m:sup>
                  <m:r>
                    <m:rPr>
                      <m:sty m:val="p"/>
                    </m:rPr>
                    <m:t>−</m:t>
                  </m:r>
                  <m:r>
                    <m:t>1</m:t>
                  </m:r>
                </m:sup>
              </m:sSup>
            </m:oMath>
          </w:p>
        </w:tc>
      </w:tr>
      <w:tr>
        <w:tc>
          <w:tcPr/>
          <w:p>
            <w:pPr>
              <w:pStyle w:val="Compact"/>
              <w:jc w:val="center"/>
            </w:pPr>
            <m:oMath>
              <m:r>
                <m:t>B</m:t>
              </m:r>
            </m:oMath>
          </w:p>
        </w:tc>
        <w:tc>
          <w:tcPr/>
          <w:p>
            <w:pPr>
              <w:pStyle w:val="Compact"/>
              <w:jc w:val="left"/>
            </w:pPr>
            <w:r>
              <w:t xml:space="preserve">Coeficientes de distribución,</w:t>
            </w:r>
            <w:r>
              <w:t xml:space="preserve"> </w:t>
            </w:r>
            <m:oMath>
              <m:r>
                <m:t>B</m:t>
              </m:r>
              <m:r>
                <m:rPr>
                  <m:sty m:val="p"/>
                </m:rPr>
                <m:t>=</m:t>
              </m:r>
              <m:sSup>
                <m:e>
                  <m:acc>
                    <m:accPr>
                      <m:chr m:val="̂"/>
                    </m:accPr>
                    <m:e>
                      <m:r>
                        <m:t>X</m:t>
                      </m:r>
                    </m:e>
                  </m:acc>
                </m:e>
                <m:sup>
                  <m:r>
                    <m:rPr>
                      <m:sty m:val="p"/>
                    </m:rPr>
                    <m:t>−</m:t>
                  </m:r>
                  <m:r>
                    <m:t>1</m:t>
                  </m:r>
                </m:sup>
              </m:sSup>
              <m:r>
                <m:t>Z</m:t>
              </m:r>
            </m:oMath>
          </w:p>
        </w:tc>
      </w:tr>
      <w:tr>
        <w:tc>
          <w:tcPr/>
          <w:p>
            <w:pPr>
              <w:pStyle w:val="Compact"/>
              <w:jc w:val="center"/>
            </w:pPr>
            <m:oMath>
              <m:r>
                <m:t>G</m:t>
              </m:r>
            </m:oMath>
          </w:p>
        </w:tc>
        <w:tc>
          <w:tcPr/>
          <w:p>
            <w:pPr>
              <w:pStyle w:val="Compact"/>
              <w:jc w:val="left"/>
            </w:pPr>
            <w:r>
              <w:t xml:space="preserve">Inversa de Ghosh,</w:t>
            </w:r>
            <w:r>
              <w:t xml:space="preserve"> </w:t>
            </w:r>
            <m:oMath>
              <m:r>
                <m:t>G</m:t>
              </m:r>
              <m:r>
                <m:rPr>
                  <m:sty m:val="p"/>
                </m:rPr>
                <m:t>=</m:t>
              </m:r>
              <m:r>
                <m:rPr>
                  <m:sty m:val="p"/>
                </m:rPr>
                <m:t>(</m:t>
              </m:r>
              <m:r>
                <m:t>I</m:t>
              </m:r>
              <m:r>
                <m:rPr>
                  <m:sty m:val="p"/>
                </m:rPr>
                <m:t>−</m:t>
              </m:r>
              <m:r>
                <m:t>B</m:t>
              </m:r>
              <m:sSup>
                <m:e>
                  <m:r>
                    <m:rPr>
                      <m:sty m:val="p"/>
                    </m:rPr>
                    <m:t>)</m:t>
                  </m:r>
                </m:e>
                <m:sup>
                  <m:r>
                    <m:rPr>
                      <m:sty m:val="p"/>
                    </m:rPr>
                    <m:t>−</m:t>
                  </m:r>
                  <m:r>
                    <m:t>1</m:t>
                  </m:r>
                </m:sup>
              </m:sSup>
            </m:oMath>
          </w:p>
        </w:tc>
      </w:tr>
      <w:tr>
        <w:tc>
          <w:tcPr/>
          <w:p>
            <w:pPr>
              <w:pStyle w:val="Compact"/>
              <w:jc w:val="center"/>
            </w:pPr>
            <m:oMath>
              <m:r>
                <m:t>M</m:t>
              </m:r>
              <m:sSub>
                <m:e>
                  <m:r>
                    <m:t>P</m:t>
                  </m:r>
                </m:e>
                <m:sub>
                  <m:r>
                    <m:t>j</m:t>
                  </m:r>
                </m:sub>
              </m:sSub>
            </m:oMath>
          </w:p>
        </w:tc>
        <w:tc>
          <w:tcPr/>
          <w:p>
            <w:pPr>
              <w:pStyle w:val="Compact"/>
              <w:jc w:val="left"/>
            </w:pPr>
            <w:r>
              <w:t xml:space="preserve">Multiplicador de producción del sector</w:t>
            </w:r>
            <w:r>
              <w:t xml:space="preserve"> </w:t>
            </w:r>
            <m:oMath>
              <m:r>
                <m:t>j</m:t>
              </m:r>
            </m:oMath>
          </w:p>
        </w:tc>
      </w:tr>
      <w:tr>
        <w:tc>
          <w:tcPr/>
          <w:p>
            <w:pPr>
              <w:pStyle w:val="Compact"/>
              <w:jc w:val="center"/>
            </w:pPr>
            <m:oMath>
              <m:r>
                <m:t>B</m:t>
              </m:r>
              <m:r>
                <m:t>L</m:t>
              </m:r>
              <m:r>
                <m:rPr>
                  <m:sty m:val="p"/>
                </m:rPr>
                <m:t>,</m:t>
              </m:r>
              <m:r>
                <m:t> </m:t>
              </m:r>
              <m:r>
                <m:t>F</m:t>
              </m:r>
              <m:r>
                <m:t>L</m:t>
              </m:r>
            </m:oMath>
          </w:p>
        </w:tc>
        <w:tc>
          <w:tcPr/>
          <w:p>
            <w:pPr>
              <w:pStyle w:val="Compact"/>
              <w:jc w:val="left"/>
            </w:pPr>
            <w:r>
              <w:t xml:space="preserve">Encadenamientos hacia atrás / adelante</w:t>
            </w:r>
          </w:p>
        </w:tc>
      </w:tr>
      <w:tr>
        <w:tc>
          <w:tcPr>
            <w:gridSpan w:val="2"/>
          </w:tcPr>
          <w:p>
            <w:pPr>
              <w:pStyle w:val="Compact"/>
              <w:jc w:val="left"/>
            </w:pPr>
            <w:r>
              <w:rPr>
                <w:i/>
                <w:iCs/>
              </w:rPr>
              <w:t xml:space="preserve">Objetos del COU (reconstrucción)</w:t>
            </w:r>
          </w:p>
        </w:tc>
      </w:tr>
      <w:tr>
        <w:tc>
          <w:tcPr/>
          <w:p>
            <w:pPr>
              <w:pStyle w:val="Compact"/>
              <w:jc w:val="center"/>
            </w:pPr>
            <m:oMath>
              <m:r>
                <m:t>V</m:t>
              </m:r>
            </m:oMath>
          </w:p>
        </w:tc>
        <w:tc>
          <w:tcPr/>
          <w:p>
            <w:pPr>
              <w:pStyle w:val="Compact"/>
              <w:jc w:val="left"/>
            </w:pPr>
            <w:r>
              <w:t xml:space="preserve">Tabla de oferta/producción (industria</w:t>
            </w:r>
            <w:r>
              <w:t xml:space="preserve"> </w:t>
            </w:r>
            <m:oMath>
              <m:r>
                <m:rPr>
                  <m:sty m:val="p"/>
                </m:rPr>
                <m:t>×</m:t>
              </m:r>
            </m:oMath>
            <w:r>
              <w:t xml:space="preserve"> </w:t>
            </w:r>
            <w:r>
              <w:t xml:space="preserve">producto)</w:t>
            </w:r>
          </w:p>
        </w:tc>
      </w:tr>
      <w:tr>
        <w:tc>
          <w:tcPr/>
          <w:p>
            <w:pPr>
              <w:pStyle w:val="Compact"/>
              <w:jc w:val="center"/>
            </w:pPr>
            <m:oMath>
              <m:r>
                <m:t>U</m:t>
              </m:r>
            </m:oMath>
          </w:p>
        </w:tc>
        <w:tc>
          <w:tcPr/>
          <w:p>
            <w:pPr>
              <w:pStyle w:val="Compact"/>
              <w:jc w:val="left"/>
            </w:pPr>
            <w:r>
              <w:t xml:space="preserve">Tabla de utilización intermedia (producto</w:t>
            </w:r>
            <w:r>
              <w:t xml:space="preserve"> </w:t>
            </w:r>
            <m:oMath>
              <m:r>
                <m:rPr>
                  <m:sty m:val="p"/>
                </m:rPr>
                <m:t>×</m:t>
              </m:r>
            </m:oMath>
            <w:r>
              <w:t xml:space="preserve"> </w:t>
            </w:r>
            <w:r>
              <w:t xml:space="preserve">industria)</w:t>
            </w:r>
          </w:p>
        </w:tc>
      </w:tr>
      <w:tr>
        <w:tc>
          <w:tcPr/>
          <w:p>
            <w:pPr>
              <w:pStyle w:val="Compact"/>
              <w:jc w:val="center"/>
            </w:pPr>
            <m:oMath>
              <m:r>
                <m:t>q</m:t>
              </m:r>
            </m:oMath>
          </w:p>
        </w:tc>
        <w:tc>
          <w:tcPr/>
          <w:p>
            <w:pPr>
              <w:pStyle w:val="Compact"/>
              <w:jc w:val="left"/>
            </w:pPr>
            <w:r>
              <w:t xml:space="preserve">Producción por producto</w:t>
            </w:r>
          </w:p>
        </w:tc>
      </w:tr>
      <w:tr>
        <w:tc>
          <w:tcPr/>
          <w:p>
            <w:pPr>
              <w:pStyle w:val="Compact"/>
              <w:jc w:val="center"/>
            </w:pPr>
            <m:oMath>
              <m:r>
                <m:t>g</m:t>
              </m:r>
            </m:oMath>
          </w:p>
        </w:tc>
        <w:tc>
          <w:tcPr/>
          <w:p>
            <w:pPr>
              <w:pStyle w:val="Compact"/>
              <w:jc w:val="left"/>
            </w:pPr>
            <w:r>
              <w:t xml:space="preserve">Producción bruta por industria</w:t>
            </w:r>
          </w:p>
        </w:tc>
      </w:tr>
      <w:tr>
        <w:tc>
          <w:tcPr/>
          <w:p>
            <w:pPr>
              <w:pStyle w:val="Compact"/>
              <w:jc w:val="center"/>
            </w:pPr>
            <m:oMath>
              <m:r>
                <m:t>D</m:t>
              </m:r>
            </m:oMath>
          </w:p>
        </w:tc>
        <w:tc>
          <w:tcPr/>
          <w:p>
            <w:pPr>
              <w:pStyle w:val="Compact"/>
              <w:jc w:val="left"/>
            </w:pPr>
            <w:r>
              <w:t xml:space="preserve">Matriz de participación de mercado (</w:t>
            </w:r>
            <w:r>
              <w:rPr>
                <w:i/>
                <w:iCs/>
              </w:rPr>
              <w:t xml:space="preserve">market share</w:t>
            </w:r>
            <w:r>
              <w:t xml:space="preserve">)</w:t>
            </w:r>
          </w:p>
        </w:tc>
      </w:tr>
    </w:tbl>
    <w:bookmarkEnd w:id="30"/>
    <w:bookmarkEnd w:id="31"/>
    <w:bookmarkStart w:id="35" w:name="el-cuadro-de-oferta-y-utilización-cou"/>
    <w:p>
      <w:pPr>
        <w:pStyle w:val="Heading1"/>
      </w:pPr>
      <w:r>
        <w:t xml:space="preserve">El Cuadro de Oferta y Utilización (COU)</w:t>
      </w:r>
    </w:p>
    <w:p>
      <w:pPr>
        <w:pStyle w:val="FirstParagraph"/>
      </w:pPr>
      <w:r>
        <w:t xml:space="preserve">La mayoría de las matrices de esta serie se reconstruye a partir de Cuadros de</w:t>
      </w:r>
      <w:r>
        <w:t xml:space="preserve"> </w:t>
      </w:r>
      <w:r>
        <w:t xml:space="preserve">Oferta y Utilización (COU; en inglés</w:t>
      </w:r>
      <w:r>
        <w:t xml:space="preserve"> </w:t>
      </w:r>
      <w:r>
        <w:rPr>
          <w:i/>
          <w:iCs/>
        </w:rPr>
        <w:t xml:space="preserve">Supply-Use Tables</w:t>
      </w:r>
      <w:r>
        <w:t xml:space="preserve">, SUT). El COU es el</w:t>
      </w:r>
      <w:r>
        <w:t xml:space="preserve"> </w:t>
      </w:r>
      <w:r>
        <w:t xml:space="preserve">insumo primario del Sistema de Cuentas Nacionales y, a diferencia de la MIP,</w:t>
      </w:r>
      <w:r>
        <w:t xml:space="preserve"> </w:t>
      </w:r>
      <w:r>
        <w:t xml:space="preserve">distingue</w:t>
      </w:r>
      <w:r>
        <w:t xml:space="preserve"> </w:t>
      </w:r>
      <w:r>
        <w:rPr>
          <w:b/>
          <w:bCs/>
        </w:rPr>
        <w:t xml:space="preserve">productos</w:t>
      </w:r>
      <w:r>
        <w:t xml:space="preserve"> </w:t>
      </w:r>
      <w:r>
        <w:t xml:space="preserve">(filas) de</w:t>
      </w:r>
      <w:r>
        <w:t xml:space="preserve"> </w:t>
      </w:r>
      <w:r>
        <w:rPr>
          <w:b/>
          <w:bCs/>
        </w:rPr>
        <w:t xml:space="preserve">industrias/actividades</w:t>
      </w:r>
      <w:r>
        <w:t xml:space="preserve"> </w:t>
      </w:r>
      <w:r>
        <w:t xml:space="preserve">(columnas).</w:t>
      </w:r>
    </w:p>
    <w:bookmarkStart w:id="32" w:name="tablas-de-oferta-y-utilización"/>
    <w:p>
      <w:pPr>
        <w:pStyle w:val="Heading2"/>
      </w:pPr>
      <w:r>
        <w:t xml:space="preserve">Tablas de oferta y utilización</w:t>
      </w:r>
    </w:p>
    <w:p>
      <w:pPr>
        <w:numPr>
          <w:ilvl w:val="0"/>
          <w:numId w:val="1003"/>
        </w:numPr>
      </w:pPr>
      <w:r>
        <w:rPr>
          <w:b/>
          <w:bCs/>
        </w:rPr>
        <w:t xml:space="preserve">Tabla de oferta</w:t>
      </w:r>
      <w:r>
        <w:t xml:space="preserve"> </w:t>
      </w:r>
      <m:oMath>
        <m:r>
          <m:t>V</m:t>
        </m:r>
      </m:oMath>
      <w:r>
        <w:t xml:space="preserve"> </w:t>
      </w:r>
      <w:r>
        <w:t xml:space="preserve">(industria</w:t>
      </w:r>
      <w:r>
        <w:t xml:space="preserve"> </w:t>
      </w:r>
      <m:oMath>
        <m:r>
          <m:rPr>
            <m:sty m:val="p"/>
          </m:rPr>
          <m:t>×</m:t>
        </m:r>
      </m:oMath>
      <w:r>
        <w:t xml:space="preserve"> </w:t>
      </w:r>
      <w:r>
        <w:t xml:space="preserve">producto): registra qué</w:t>
      </w:r>
      <w:r>
        <w:t xml:space="preserve"> </w:t>
      </w:r>
      <w:r>
        <w:t xml:space="preserve">produce cada industria. La suma por producto da la producción</w:t>
      </w:r>
      <w:r>
        <w:t xml:space="preserve"> </w:t>
      </w:r>
      <m:oMath>
        <m:r>
          <m:t>q</m:t>
        </m:r>
        <m:r>
          <m:rPr>
            <m:sty m:val="p"/>
          </m:rPr>
          <m:t>=</m:t>
        </m:r>
        <m:sSup>
          <m:e>
            <m:r>
              <m:rPr>
                <m:sty m:val="b"/>
              </m:rPr>
              <m:t>1</m:t>
            </m:r>
          </m:e>
          <m:sup>
            <m:r>
              <m:t>T</m:t>
            </m:r>
          </m:sup>
        </m:sSup>
        <m:r>
          <m:t>V</m:t>
        </m:r>
      </m:oMath>
      <w:r>
        <w:t xml:space="preserve">.</w:t>
      </w:r>
    </w:p>
    <w:p>
      <w:pPr>
        <w:numPr>
          <w:ilvl w:val="0"/>
          <w:numId w:val="1003"/>
        </w:numPr>
      </w:pPr>
      <w:r>
        <w:rPr>
          <w:b/>
          <w:bCs/>
        </w:rPr>
        <w:t xml:space="preserve">Tabla de utilización</w:t>
      </w:r>
      <w:r>
        <w:t xml:space="preserve"> </w:t>
      </w:r>
      <m:oMath>
        <m:r>
          <m:t>U</m:t>
        </m:r>
      </m:oMath>
      <w:r>
        <w:t xml:space="preserve"> </w:t>
      </w:r>
      <w:r>
        <w:t xml:space="preserve">(producto</w:t>
      </w:r>
      <w:r>
        <w:t xml:space="preserve"> </w:t>
      </w:r>
      <m:oMath>
        <m:r>
          <m:rPr>
            <m:sty m:val="p"/>
          </m:rPr>
          <m:t>×</m:t>
        </m:r>
      </m:oMath>
      <w:r>
        <w:t xml:space="preserve"> </w:t>
      </w:r>
      <w:r>
        <w:t xml:space="preserve">industria): registra</w:t>
      </w:r>
      <w:r>
        <w:t xml:space="preserve"> </w:t>
      </w:r>
      <w:r>
        <w:t xml:space="preserve">qué productos consume cada industria como insumo intermedio, más la</w:t>
      </w:r>
      <w:r>
        <w:t xml:space="preserve"> </w:t>
      </w:r>
      <w:r>
        <w:t xml:space="preserve">demanda final por componentes.</w:t>
      </w:r>
    </w:p>
    <w:bookmarkEnd w:id="32"/>
    <w:bookmarkStart w:id="33" w:name="productos-versus-industrias"/>
    <w:p>
      <w:pPr>
        <w:pStyle w:val="Heading2"/>
      </w:pPr>
      <w:r>
        <w:t xml:space="preserve">Productos versus industrias</w:t>
      </w:r>
    </w:p>
    <w:p>
      <w:pPr>
        <w:pStyle w:val="FirstParagraph"/>
      </w:pPr>
      <w:r>
        <w:t xml:space="preserve">Un punto metodológico delicado es no confundir productos con sectores. Un</w:t>
      </w:r>
      <w:r>
        <w:t xml:space="preserve"> </w:t>
      </w:r>
      <w:r>
        <w:t xml:space="preserve">producto puede aparecer en la cobertura del COU y no como sector de la MIP final,</w:t>
      </w:r>
      <w:r>
        <w:t xml:space="preserve"> </w:t>
      </w:r>
      <w:r>
        <w:t xml:space="preserve">porque la transformación COU</w:t>
      </w:r>
      <m:oMath>
        <m:r>
          <m:t> </m:t>
        </m:r>
        <m:r>
          <m:rPr>
            <m:sty m:val="p"/>
          </m:rPr>
          <m:t>→</m:t>
        </m:r>
        <m:r>
          <m:t> </m:t>
        </m:r>
      </m:oMath>
      <w:r>
        <w:t xml:space="preserve">MIP pasa por la matriz de participación de</w:t>
      </w:r>
      <w:r>
        <w:t xml:space="preserve"> </w:t>
      </w:r>
      <w:r>
        <w:t xml:space="preserve">mercado</w:t>
      </w:r>
      <w:r>
        <w:t xml:space="preserve"> </w:t>
      </w:r>
      <m:oMath>
        <m:r>
          <m:t>D</m:t>
        </m:r>
      </m:oMath>
      <w:r>
        <w:t xml:space="preserve"> </w:t>
      </w:r>
      <w:r>
        <w:t xml:space="preserve">(Sección </w:t>
      </w:r>
      <w:hyperlink w:anchor="sec:reconstruccion">
        <w:r>
          <w:rPr>
            <w:rStyle w:val="Hyperlink"/>
          </w:rPr>
          <w:t xml:space="preserve">4</w:t>
        </w:r>
      </w:hyperlink>
      <w:r>
        <w:t xml:space="preserve">).</w:t>
      </w:r>
    </w:p>
    <w:bookmarkEnd w:id="33"/>
    <w:bookmarkStart w:id="34" w:name="valoración-y-origen"/>
    <w:p>
      <w:pPr>
        <w:pStyle w:val="Heading2"/>
      </w:pPr>
      <w:r>
        <w:t xml:space="preserve">Valoración y origen</w:t>
      </w:r>
    </w:p>
    <w:p>
      <w:pPr>
        <w:pStyle w:val="FirstParagraph"/>
      </w:pPr>
      <w:r>
        <w:t xml:space="preserve">El COU plantea dos retos de valoración que el procedimiento debe resolver:</w:t>
      </w:r>
    </w:p>
    <w:p>
      <w:pPr>
        <w:numPr>
          <w:ilvl w:val="0"/>
          <w:numId w:val="1004"/>
        </w:numPr>
      </w:pPr>
      <w:r>
        <w:rPr>
          <w:b/>
          <w:bCs/>
        </w:rPr>
        <w:t xml:space="preserve">Precios básicos vs. precios de comprador.</w:t>
      </w:r>
      <w:r>
        <w:t xml:space="preserve"> </w:t>
      </w:r>
      <w:r>
        <w:t xml:space="preserve">La utilización suele</w:t>
      </w:r>
      <w:r>
        <w:t xml:space="preserve"> </w:t>
      </w:r>
      <w:r>
        <w:t xml:space="preserve">publicarse a precios de comprador (incluye márgenes de comercio y</w:t>
      </w:r>
      <w:r>
        <w:t xml:space="preserve"> </w:t>
      </w:r>
      <w:r>
        <w:t xml:space="preserve">transporte e impuestos netos sobre los productos), mientras que la</w:t>
      </w:r>
      <w:r>
        <w:t xml:space="preserve"> </w:t>
      </w:r>
      <w:r>
        <w:t xml:space="preserve">producción está a precios básicos. La MIP doméstica se construye a</w:t>
      </w:r>
      <w:r>
        <w:t xml:space="preserve"> </w:t>
      </w:r>
      <w:r>
        <w:t xml:space="preserve">precios básicos.</w:t>
      </w:r>
    </w:p>
    <w:p>
      <w:pPr>
        <w:numPr>
          <w:ilvl w:val="0"/>
          <w:numId w:val="1004"/>
        </w:numPr>
      </w:pPr>
      <w:r>
        <w:rPr>
          <w:b/>
          <w:bCs/>
        </w:rPr>
        <w:t xml:space="preserve">Origen doméstico vs. importado.</w:t>
      </w:r>
      <w:r>
        <w:t xml:space="preserve"> </w:t>
      </w:r>
      <w:r>
        <w:t xml:space="preserve">La MIP doméstica solo contempla</w:t>
      </w:r>
      <w:r>
        <w:t xml:space="preserve"> </w:t>
      </w:r>
      <w:r>
        <w:t xml:space="preserve">la tecnología y producción nacional. El uso intermedio importado se</w:t>
      </w:r>
      <w:r>
        <w:t xml:space="preserve"> </w:t>
      </w:r>
      <w:r>
        <w:t xml:space="preserve">separa para que la demanda final quede satisfecha exclusivamente por</w:t>
      </w:r>
      <w:r>
        <w:t xml:space="preserve"> </w:t>
      </w:r>
      <w:r>
        <w:t xml:space="preserve">producción local.</w:t>
      </w:r>
    </w:p>
    <w:bookmarkEnd w:id="34"/>
    <w:bookmarkEnd w:id="35"/>
    <w:bookmarkStart w:id="42" w:name="sec:reconstruccion"/>
    <w:p>
      <w:pPr>
        <w:pStyle w:val="Heading1"/>
      </w:pPr>
      <w:r>
        <w:t xml:space="preserve">Metodología de Reconstrucción COU</w:t>
      </w:r>
      <w:r>
        <w:t xml:space="preserve"> </w:t>
      </w:r>
      <m:oMath>
        <m:r>
          <m:rPr>
            <m:sty m:val="p"/>
          </m:rPr>
          <m:t>→</m:t>
        </m:r>
      </m:oMath>
      <w:r>
        <w:t xml:space="preserve"> </w:t>
      </w:r>
      <w:r>
        <w:t xml:space="preserve">MIP</w:t>
      </w:r>
    </w:p>
    <w:bookmarkStart w:id="36" w:name="supuesto-de-tecnología-de-industria"/>
    <w:p>
      <w:pPr>
        <w:pStyle w:val="Heading2"/>
      </w:pPr>
      <w:r>
        <w:t xml:space="preserve">Supuesto de tecnología de industria</w:t>
      </w:r>
    </w:p>
    <w:p>
      <w:pPr>
        <w:pStyle w:val="FirstParagraph"/>
      </w:pPr>
      <w:r>
        <w:t xml:space="preserve">La transformación de un sistema rectangular oferta-utilización a una MIP</w:t>
      </w:r>
      <w:r>
        <w:t xml:space="preserve"> </w:t>
      </w:r>
      <w:r>
        <w:t xml:space="preserve">cuadrada industria por industria emplea el</w:t>
      </w:r>
      <w:r>
        <w:t xml:space="preserve"> </w:t>
      </w:r>
      <w:r>
        <w:rPr>
          <w:b/>
          <w:bCs/>
        </w:rPr>
        <w:t xml:space="preserve">supuesto de tecnología de</w:t>
      </w:r>
      <w:r>
        <w:rPr>
          <w:b/>
          <w:bCs/>
        </w:rPr>
        <w:t xml:space="preserve"> </w:t>
      </w:r>
      <w:r>
        <w:rPr>
          <w:b/>
          <w:bCs/>
        </w:rPr>
        <w:t xml:space="preserve">industria</w:t>
      </w:r>
      <w:r>
        <w:t xml:space="preserve"> </w:t>
      </w:r>
      <w:r>
        <w:t xml:space="preserve">(</w:t>
      </w:r>
      <w:r>
        <w:rPr>
          <w:i/>
          <w:iCs/>
        </w:rPr>
        <w:t xml:space="preserve">industry-technology assumption</w:t>
      </w:r>
      <w:r>
        <w:t xml:space="preserve">), que asume que cada industria</w:t>
      </w:r>
      <w:r>
        <w:t xml:space="preserve"> </w:t>
      </w:r>
      <w:r>
        <w:t xml:space="preserve">usa la misma estructura de insumos para todos los productos que fabrica. Este</w:t>
      </w:r>
      <w:r>
        <w:t xml:space="preserve"> </w:t>
      </w:r>
      <w:r>
        <w:t xml:space="preserve">supuesto preserva la no negatividad de los coeficientes.</w:t>
      </w:r>
    </w:p>
    <w:bookmarkEnd w:id="36"/>
    <w:bookmarkStart w:id="37" w:name="Xf5a2a9a9a2c835d85d28cb7370b513b0994689a"/>
    <w:p>
      <w:pPr>
        <w:pStyle w:val="Heading2"/>
      </w:pPr>
      <w:r>
        <w:t xml:space="preserve">Matriz de participación de mercado y derivación de</w:t>
      </w:r>
      <w:r>
        <w:t xml:space="preserve"> </w:t>
      </w:r>
      <m:oMath>
        <m:r>
          <m:t>Z</m:t>
        </m:r>
      </m:oMath>
    </w:p>
    <w:p>
      <w:pPr>
        <w:pStyle w:val="FirstParagraph"/>
      </w:pPr>
      <w:r>
        <w:t xml:space="preserve">Se define la matriz de participación de mercado</w:t>
      </w:r>
      <w:r>
        <w:t xml:space="preserve"> </w:t>
      </w:r>
      <m:oMath>
        <m:r>
          <m:t>D</m:t>
        </m:r>
      </m:oMath>
      <w:r>
        <w:t xml:space="preserve"> </w:t>
      </w:r>
      <w:r>
        <w:t xml:space="preserve">a partir de la oferta:</w:t>
      </w:r>
    </w:p>
    <w:p>
      <w:pPr>
        <w:pStyle w:val="BodyText"/>
      </w:pPr>
      <m:oMathPara>
        <m:oMathParaPr>
          <m:jc m:val="center"/>
        </m:oMathParaPr>
        <m:oMath>
          <m:r>
            <m:t>D</m:t>
          </m:r>
          <m:r>
            <m:rPr>
              <m:sty m:val="p"/>
            </m:rPr>
            <m:t>=</m:t>
          </m:r>
          <m:r>
            <m:t>V</m:t>
          </m:r>
          <m:r>
            <m:t> </m:t>
          </m:r>
          <m:sSup>
            <m:e>
              <m:acc>
                <m:accPr>
                  <m:chr m:val="̂"/>
                </m:accPr>
                <m:e>
                  <m:r>
                    <m:t>q</m:t>
                  </m:r>
                </m:e>
              </m:acc>
            </m:e>
            <m:sup>
              <m:r>
                <m:rPr>
                  <m:sty m:val="p"/>
                </m:rPr>
                <m:t>−</m:t>
              </m:r>
              <m:r>
                <m:t>1</m:t>
              </m:r>
            </m:sup>
          </m:sSup>
          <m:r>
            <m:rPr>
              <m:sty m:val="p"/>
            </m:rPr>
            <m:t>,</m:t>
          </m:r>
          <m:r>
            <m:t>  </m:t>
          </m:r>
          <m:acc>
            <m:accPr>
              <m:chr m:val="̂"/>
            </m:accPr>
            <m:e>
              <m:r>
                <m:t>q</m:t>
              </m:r>
            </m:e>
          </m:acc>
          <m:r>
            <m:rPr>
              <m:sty m:val="p"/>
            </m:rPr>
            <m:t>=</m:t>
          </m:r>
          <m:r>
            <m:rPr>
              <m:sty m:val="p"/>
            </m:rPr>
            <m:t>diag</m:t>
          </m:r>
          <m:r>
            <m:rPr>
              <m:sty m:val="p"/>
            </m:rPr>
            <m:t>(</m:t>
          </m:r>
          <m:r>
            <m:t>q</m:t>
          </m:r>
          <m:r>
            <m:rPr>
              <m:sty m:val="p"/>
            </m:rPr>
            <m:t>)</m:t>
          </m:r>
          <m:r>
            <m:rPr>
              <m:sty m:val="p"/>
            </m:rPr>
            <m:t>,</m:t>
          </m:r>
        </m:oMath>
      </m:oMathPara>
    </w:p>
    <w:p>
      <w:pPr>
        <w:pStyle w:val="FirstParagraph"/>
      </w:pPr>
      <w:r>
        <w:t xml:space="preserve">donde</w:t>
      </w:r>
      <w:r>
        <w:t xml:space="preserve"> </w:t>
      </w:r>
      <m:oMath>
        <m:sSub>
          <m:e>
            <m:r>
              <m:t>d</m:t>
            </m:r>
          </m:e>
          <m:sub>
            <m:r>
              <m:t>k</m:t>
            </m:r>
            <m:r>
              <m:t>p</m:t>
            </m:r>
          </m:sub>
        </m:sSub>
      </m:oMath>
      <w:r>
        <w:t xml:space="preserve"> </w:t>
      </w:r>
      <w:r>
        <w:t xml:space="preserve">es la proporción del producto</w:t>
      </w:r>
      <w:r>
        <w:t xml:space="preserve"> </w:t>
      </w:r>
      <m:oMath>
        <m:r>
          <m:t>p</m:t>
        </m:r>
      </m:oMath>
      <w:r>
        <w:t xml:space="preserve"> </w:t>
      </w:r>
      <w:r>
        <w:t xml:space="preserve">fabricada por la industria</w:t>
      </w:r>
      <w:r>
        <w:t xml:space="preserve"> </w:t>
      </w:r>
      <m:oMath>
        <m:r>
          <m:t>k</m:t>
        </m:r>
      </m:oMath>
      <w:r>
        <w:t xml:space="preserve">.</w:t>
      </w:r>
      <w:r>
        <w:t xml:space="preserve"> </w:t>
      </w:r>
      <w:r>
        <w:t xml:space="preserve">El consumo intermedio industria por industria se obtiene proyectando la</w:t>
      </w:r>
      <w:r>
        <w:t xml:space="preserve"> </w:t>
      </w:r>
      <w:r>
        <w:t xml:space="preserve">utilización nacional por la participación de mercado:</w:t>
      </w:r>
    </w:p>
    <w:p>
      <w:pPr>
        <w:pStyle w:val="BodyText"/>
      </w:pPr>
      <m:oMathPara>
        <m:oMathParaPr>
          <m:jc m:val="center"/>
        </m:oMathParaPr>
        <m:oMath>
          <m:r>
            <m:t>Z</m:t>
          </m:r>
          <m:r>
            <m:rPr>
              <m:sty m:val="p"/>
            </m:rPr>
            <m:t>=</m:t>
          </m:r>
          <m:r>
            <m:t>D</m:t>
          </m:r>
          <m:r>
            <m:t> </m:t>
          </m:r>
          <m:sSub>
            <m:e>
              <m:r>
                <m:t>U</m:t>
              </m:r>
            </m:e>
            <m:sub>
              <m:r>
                <m:rPr>
                  <m:nor/>
                  <m:sty m:val="p"/>
                </m:rPr>
                <m:t>nacional</m:t>
              </m:r>
            </m:sub>
          </m:sSub>
          <m:r>
            <m:rPr>
              <m:sty m:val="p"/>
            </m:rPr>
            <m:t>,</m:t>
          </m:r>
          <m:r>
            <m:t>  </m:t>
          </m:r>
          <m:r>
            <m:t>A</m:t>
          </m:r>
          <m:r>
            <m:rPr>
              <m:sty m:val="p"/>
            </m:rPr>
            <m:t>=</m:t>
          </m:r>
          <m:r>
            <m:t>Z</m:t>
          </m:r>
          <m:r>
            <m:t> </m:t>
          </m:r>
          <m:sSup>
            <m:e>
              <m:acc>
                <m:accPr>
                  <m:chr m:val="̂"/>
                </m:accPr>
                <m:e>
                  <m:r>
                    <m:t>g</m:t>
                  </m:r>
                </m:e>
              </m:acc>
            </m:e>
            <m:sup>
              <m:r>
                <m:rPr>
                  <m:sty m:val="p"/>
                </m:rPr>
                <m:t>−</m:t>
              </m:r>
              <m:r>
                <m:t>1</m:t>
              </m:r>
            </m:sup>
          </m:sSup>
          <m:r>
            <m:rPr>
              <m:sty m:val="p"/>
            </m:rPr>
            <m:t>,</m:t>
          </m:r>
          <m:r>
            <m:t> </m:t>
          </m:r>
          <m:r>
            <m:t>L</m:t>
          </m:r>
          <m:r>
            <m:rPr>
              <m:sty m:val="p"/>
            </m:rPr>
            <m:t>=</m:t>
          </m:r>
          <m:r>
            <m:rPr>
              <m:sty m:val="p"/>
            </m:rPr>
            <m:t>(</m:t>
          </m:r>
          <m:r>
            <m:t>I</m:t>
          </m:r>
          <m:r>
            <m:rPr>
              <m:sty m:val="p"/>
            </m:rPr>
            <m:t>−</m:t>
          </m:r>
          <m:r>
            <m:t>A</m:t>
          </m:r>
          <m:sSup>
            <m:e>
              <m:r>
                <m:rPr>
                  <m:sty m:val="p"/>
                </m:rPr>
                <m:t>)</m:t>
              </m:r>
            </m:e>
            <m:sup>
              <m:r>
                <m:rPr>
                  <m:sty m:val="p"/>
                </m:rPr>
                <m:t>−</m:t>
              </m:r>
              <m:r>
                <m:t>1</m:t>
              </m:r>
            </m:sup>
          </m:sSup>
          <m:r>
            <m:rPr>
              <m:sty m:val="p"/>
            </m:rPr>
            <m:t>,</m:t>
          </m:r>
        </m:oMath>
      </m:oMathPara>
    </w:p>
    <w:p>
      <w:pPr>
        <w:pStyle w:val="FirstParagraph"/>
      </w:pPr>
      <m:oMathPara>
        <m:oMathParaPr>
          <m:jc m:val="center"/>
        </m:oMathParaPr>
        <m:oMath>
          <m:r>
            <m:t>B</m:t>
          </m:r>
          <m:r>
            <m:rPr>
              <m:sty m:val="p"/>
            </m:rPr>
            <m:t>=</m:t>
          </m:r>
          <m:sSup>
            <m:e>
              <m:acc>
                <m:accPr>
                  <m:chr m:val="̂"/>
                </m:accPr>
                <m:e>
                  <m:r>
                    <m:t>g</m:t>
                  </m:r>
                </m:e>
              </m:acc>
            </m:e>
            <m:sup>
              <m:r>
                <m:rPr>
                  <m:sty m:val="p"/>
                </m:rPr>
                <m:t>−</m:t>
              </m:r>
              <m:r>
                <m:t>1</m:t>
              </m:r>
            </m:sup>
          </m:sSup>
          <m:r>
            <m:t>Z</m:t>
          </m:r>
          <m:r>
            <m:rPr>
              <m:sty m:val="p"/>
            </m:rPr>
            <m:t>,</m:t>
          </m:r>
          <m:r>
            <m:t> </m:t>
          </m:r>
          <m:r>
            <m:t>G</m:t>
          </m:r>
          <m:r>
            <m:rPr>
              <m:sty m:val="p"/>
            </m:rPr>
            <m:t>=</m:t>
          </m:r>
          <m:r>
            <m:rPr>
              <m:sty m:val="p"/>
            </m:rPr>
            <m:t>(</m:t>
          </m:r>
          <m:r>
            <m:t>I</m:t>
          </m:r>
          <m:r>
            <m:rPr>
              <m:sty m:val="p"/>
            </m:rPr>
            <m:t>−</m:t>
          </m:r>
          <m:r>
            <m:t>B</m:t>
          </m:r>
          <m:sSup>
            <m:e>
              <m:r>
                <m:rPr>
                  <m:sty m:val="p"/>
                </m:rPr>
                <m:t>)</m:t>
              </m:r>
            </m:e>
            <m:sup>
              <m:r>
                <m:rPr>
                  <m:sty m:val="p"/>
                </m:rPr>
                <m:t>−</m:t>
              </m:r>
              <m:r>
                <m:t>1</m:t>
              </m:r>
            </m:sup>
          </m:sSup>
          <m:r>
            <m:rPr>
              <m:sty m:val="p"/>
            </m:rPr>
            <m:t>,</m:t>
          </m:r>
          <m:r>
            <m:t>  </m:t>
          </m:r>
          <m:r>
            <m:t>f</m:t>
          </m:r>
          <m:r>
            <m:rPr>
              <m:sty m:val="p"/>
            </m:rPr>
            <m:t>=</m:t>
          </m:r>
          <m:r>
            <m:t>D</m:t>
          </m:r>
          <m:r>
            <m:t> </m:t>
          </m:r>
          <m:sSub>
            <m:e>
              <m:r>
                <m:t>y</m:t>
              </m:r>
            </m:e>
            <m:sub>
              <m:r>
                <m:rPr>
                  <m:nor/>
                  <m:sty m:val="p"/>
                </m:rPr>
                <m:t>doméstica</m:t>
              </m:r>
            </m:sub>
          </m:sSub>
          <m:r>
            <m:rPr>
              <m:sty m:val="p"/>
            </m:rPr>
            <m:t>,</m:t>
          </m:r>
        </m:oMath>
      </m:oMathPara>
    </w:p>
    <w:p>
      <w:pPr>
        <w:pStyle w:val="FirstParagraph"/>
      </w:pPr>
      <w:r>
        <w:t xml:space="preserve">con</w:t>
      </w:r>
      <w:r>
        <w:t xml:space="preserve"> </w:t>
      </w:r>
      <m:oMath>
        <m:r>
          <m:t>g</m:t>
        </m:r>
      </m:oMath>
      <w:r>
        <w:t xml:space="preserve"> </w:t>
      </w:r>
      <w:r>
        <w:t xml:space="preserve">la producción bruta por industria y</w:t>
      </w:r>
      <w:r>
        <w:t xml:space="preserve"> </w:t>
      </w:r>
      <m:oMath>
        <m:r>
          <m:t>f</m:t>
        </m:r>
      </m:oMath>
      <w:r>
        <w:t xml:space="preserve"> </w:t>
      </w:r>
      <w:r>
        <w:t xml:space="preserve">la demanda final ya expresada por</w:t>
      </w:r>
      <w:r>
        <w:t xml:space="preserve"> </w:t>
      </w:r>
      <w:r>
        <w:t xml:space="preserve">industria.</w:t>
      </w:r>
    </w:p>
    <w:bookmarkEnd w:id="37"/>
    <w:bookmarkStart w:id="38" w:name="Xda66ece1d34f1fe822c8d2c36cbc79c6c5c1372"/>
    <w:p>
      <w:pPr>
        <w:pStyle w:val="Heading2"/>
      </w:pPr>
      <w:r>
        <w:t xml:space="preserve">Tratamiento de precios y de las importaciones</w:t>
      </w:r>
    </w:p>
    <w:p>
      <w:pPr>
        <w:pStyle w:val="FirstParagraph"/>
      </w:pPr>
      <w:r>
        <w:t xml:space="preserve">Cuando la fuente publica la utilización a precios de comprador,</w:t>
      </w:r>
      <w:r>
        <w:t xml:space="preserve"> </w:t>
      </w:r>
      <m:oMath>
        <m:r>
          <m:t>U</m:t>
        </m:r>
      </m:oMath>
      <w:r>
        <w:t xml:space="preserve"> </w:t>
      </w:r>
      <w:r>
        <w:t xml:space="preserve">se reescala</w:t>
      </w:r>
      <w:r>
        <w:t xml:space="preserve"> </w:t>
      </w:r>
      <w:r>
        <w:t xml:space="preserve">por producto a precios básicos con un factor</w:t>
      </w:r>
      <w:r>
        <w:t xml:space="preserve"> </w:t>
      </w:r>
      <m:oMath>
        <m:sSub>
          <m:e>
            <m:r>
              <m:t>ϕ</m:t>
            </m:r>
          </m:e>
          <m:sub>
            <m:r>
              <m:t>p</m:t>
            </m:r>
          </m:sub>
        </m:sSub>
        <m:r>
          <m:rPr>
            <m:sty m:val="p"/>
          </m:rPr>
          <m:t>=</m:t>
        </m:r>
        <m:sSubSup>
          <m:e>
            <m:r>
              <m:t>q</m:t>
            </m:r>
          </m:e>
          <m:sub>
            <m:r>
              <m:t>p</m:t>
            </m:r>
          </m:sub>
          <m:sup>
            <m:r>
              <m:rPr>
                <m:nor/>
                <m:sty m:val="p"/>
              </m:rPr>
              <m:t>pb</m:t>
            </m:r>
          </m:sup>
        </m:sSubSup>
        <m:r>
          <m:rPr>
            <m:sty m:val="p"/>
          </m:rPr>
          <m:t>/</m:t>
        </m:r>
        <m:r>
          <m:rPr>
            <m:sty m:val="p"/>
          </m:rPr>
          <m:t>(</m:t>
        </m:r>
        <m:sSub>
          <m:e>
            <m:r>
              <m:rPr>
                <m:nor/>
                <m:sty m:val="p"/>
              </m:rPr>
              <m:t>oferta total</m:t>
            </m:r>
          </m:e>
          <m:sub>
            <m:r>
              <m:t>p</m:t>
            </m:r>
          </m:sub>
        </m:sSub>
        <m:r>
          <m:rPr>
            <m:sty m:val="p"/>
          </m:rPr>
          <m:t>−</m:t>
        </m:r>
        <m:sSub>
          <m:e>
            <m:r>
              <m:rPr>
                <m:nor/>
                <m:sty m:val="p"/>
              </m:rPr>
              <m:t>importaciones</m:t>
            </m:r>
          </m:e>
          <m:sub>
            <m:r>
              <m:t>p</m:t>
            </m:r>
          </m:sub>
        </m:sSub>
        <m:r>
          <m:rPr>
            <m:sty m:val="p"/>
          </m:rPr>
          <m:t>)</m:t>
        </m:r>
      </m:oMath>
      <w:r>
        <w:t xml:space="preserve">,</w:t>
      </w:r>
      <w:r>
        <w:t xml:space="preserve"> </w:t>
      </w:r>
      <w:r>
        <w:t xml:space="preserve">acotado a</w:t>
      </w:r>
      <w:r>
        <w:t xml:space="preserve"> </w:t>
      </w:r>
      <m:oMath>
        <m:sSub>
          <m:e>
            <m:r>
              <m:t>ϕ</m:t>
            </m:r>
          </m:e>
          <m:sub>
            <m:r>
              <m:t>p</m:t>
            </m:r>
          </m:sub>
        </m:sSub>
        <m:r>
          <m:rPr>
            <m:sty m:val="p"/>
          </m:rPr>
          <m:t>≤</m:t>
        </m:r>
        <m:r>
          <m:t>1</m:t>
        </m:r>
      </m:oMath>
      <w:r>
        <w:t xml:space="preserve"> </w:t>
      </w:r>
      <w:r>
        <w:t xml:space="preserve">por la identidad</w:t>
      </w:r>
      <w:r>
        <w:t xml:space="preserve"> </w:t>
      </w:r>
      <w:r>
        <w:rPr>
          <w:i/>
          <w:iCs/>
        </w:rPr>
        <w:t xml:space="preserve">precio básico</w:t>
      </w:r>
      <w:r>
        <w:t xml:space="preserve"> </w:t>
      </w:r>
      <m:oMath>
        <m:r>
          <m:rPr>
            <m:sty m:val="p"/>
          </m:rPr>
          <m:t>≤</m:t>
        </m:r>
      </m:oMath>
      <w:r>
        <w:t xml:space="preserve"> </w:t>
      </w:r>
      <w:r>
        <w:rPr>
          <w:i/>
          <w:iCs/>
        </w:rPr>
        <w:t xml:space="preserve">precio</w:t>
      </w:r>
      <w:r>
        <w:rPr>
          <w:i/>
          <w:iCs/>
        </w:rPr>
        <w:t xml:space="preserve"> </w:t>
      </w:r>
      <w:r>
        <w:rPr>
          <w:i/>
          <w:iCs/>
        </w:rPr>
        <w:t xml:space="preserve">de comprador</w:t>
      </w:r>
      <w:r>
        <w:t xml:space="preserve">. El uso importado se aísla en</w:t>
      </w:r>
      <w:r>
        <w:t xml:space="preserve"> </w:t>
      </w:r>
      <m:oMath>
        <m:sSub>
          <m:e>
            <m:r>
              <m:t>U</m:t>
            </m:r>
          </m:e>
          <m:sub>
            <m:r>
              <m:rPr>
                <m:nor/>
                <m:sty m:val="p"/>
              </m:rPr>
              <m:t>importada</m:t>
            </m:r>
          </m:sub>
        </m:sSub>
      </m:oMath>
      <w:r>
        <w:t xml:space="preserve"> </w:t>
      </w:r>
      <w:r>
        <w:t xml:space="preserve">y no entra en</w:t>
      </w:r>
      <w:r>
        <w:t xml:space="preserve"> </w:t>
      </w:r>
      <w:r>
        <w:t xml:space="preserve">la MIP doméstica.</w:t>
      </w:r>
    </w:p>
    <w:bookmarkEnd w:id="38"/>
    <w:bookmarkStart w:id="39" w:name="X0f32d256256521d84566891e6629d94b6245592"/>
    <w:p>
      <w:pPr>
        <w:pStyle w:val="Heading2"/>
      </w:pPr>
      <w:r>
        <w:t xml:space="preserve">Cierre de la demanda final y conciliación menor</w:t>
      </w:r>
    </w:p>
    <w:p>
      <w:pPr>
        <w:pStyle w:val="FirstParagraph"/>
      </w:pPr>
      <w:r>
        <w:t xml:space="preserve">Para que se cumpla oferta</w:t>
      </w:r>
      <w:r>
        <w:t xml:space="preserve"> </w:t>
      </w:r>
      <m:oMath>
        <m:r>
          <m:rPr>
            <m:sty m:val="p"/>
          </m:rPr>
          <m:t>=</m:t>
        </m:r>
      </m:oMath>
      <w:r>
        <w:t xml:space="preserve"> </w:t>
      </w:r>
      <w:r>
        <w:t xml:space="preserve">demanda a precios básicos, la demanda final</w:t>
      </w:r>
      <w:r>
        <w:t xml:space="preserve"> </w:t>
      </w:r>
      <w:r>
        <w:t xml:space="preserve">doméstica se cierra como residual</w:t>
      </w:r>
      <w:r>
        <w:t xml:space="preserve"> </w:t>
      </w:r>
      <m:oMath>
        <m:r>
          <m:t>y</m:t>
        </m:r>
        <m:r>
          <m:rPr>
            <m:sty m:val="p"/>
          </m:rPr>
          <m:t>=</m:t>
        </m:r>
        <m:sSup>
          <m:e>
            <m:r>
              <m:t>q</m:t>
            </m:r>
          </m:e>
          <m:sup>
            <m:r>
              <m:rPr>
                <m:nor/>
                <m:sty m:val="p"/>
              </m:rPr>
              <m:t>pb</m:t>
            </m:r>
          </m:sup>
        </m:sSup>
        <m:r>
          <m:rPr>
            <m:sty m:val="p"/>
          </m:rPr>
          <m:t>−</m:t>
        </m:r>
        <m:r>
          <m:t>U</m:t>
        </m:r>
        <m:r>
          <m:rPr>
            <m:sty m:val="b"/>
          </m:rPr>
          <m:t>1</m:t>
        </m:r>
      </m:oMath>
      <w:r>
        <w:t xml:space="preserve"> </w:t>
      </w:r>
      <w:r>
        <w:t xml:space="preserve">cuando la</w:t>
      </w:r>
      <w:r>
        <w:t xml:space="preserve"> </w:t>
      </w:r>
      <w:r>
        <w:t xml:space="preserve">fuente no permite una conciliación exacta. La política de conciliación es</w:t>
      </w:r>
      <w:r>
        <w:t xml:space="preserve"> </w:t>
      </w:r>
      <w:r>
        <w:t xml:space="preserve">conservadora:</w:t>
      </w:r>
    </w:p>
    <w:p>
      <w:pPr>
        <w:numPr>
          <w:ilvl w:val="0"/>
          <w:numId w:val="1005"/>
        </w:numPr>
      </w:pPr>
      <w:r>
        <w:t xml:space="preserve">Primero se revisan parsers, totales, códigos y puentes de precios.</w:t>
      </w:r>
    </w:p>
    <w:p>
      <w:pPr>
        <w:numPr>
          <w:ilvl w:val="0"/>
          <w:numId w:val="1005"/>
        </w:numPr>
      </w:pPr>
      <w:r>
        <w:t xml:space="preserve">No se alteran cifras para «forzar» resultados.</w:t>
      </w:r>
    </w:p>
    <w:p>
      <w:pPr>
        <w:numPr>
          <w:ilvl w:val="0"/>
          <w:numId w:val="1005"/>
        </w:numPr>
      </w:pPr>
      <w:r>
        <w:t xml:space="preserve">Solo se aplica una conciliación menor tipo RAS cuando el desbalance es</w:t>
      </w:r>
      <w:r>
        <w:t xml:space="preserve"> </w:t>
      </w:r>
      <w:r>
        <w:t xml:space="preserve">pequeño, localizado y justificable como cierre o redondeo (por ejemplo,</w:t>
      </w:r>
      <w:r>
        <w:t xml:space="preserve"> </w:t>
      </w:r>
      <w:r>
        <w:t xml:space="preserve">Brasil 2000–2009 y Uruguay 2016).</w:t>
      </w:r>
    </w:p>
    <w:p>
      <w:pPr>
        <w:numPr>
          <w:ilvl w:val="0"/>
          <w:numId w:val="1005"/>
        </w:numPr>
      </w:pPr>
      <w:r>
        <w:t xml:space="preserve">Toda conciliación deja traza en las hojas</w:t>
      </w:r>
      <w:r>
        <w:t xml:space="preserve"> </w:t>
      </w:r>
      <w:r>
        <w:rPr>
          <w:rStyle w:val="VerbatimChar"/>
        </w:rPr>
        <w:t xml:space="preserve">ajuste_cierre</w:t>
      </w:r>
      <w:r>
        <w:t xml:space="preserve"> </w:t>
      </w:r>
      <w:r>
        <w:t xml:space="preserve">y</w:t>
      </w:r>
      <w:r>
        <w:t xml:space="preserve"> </w:t>
      </w:r>
      <w:r>
        <w:rPr>
          <w:rStyle w:val="VerbatimChar"/>
        </w:rPr>
        <w:t xml:space="preserve">Z_pre_conciliacion</w:t>
      </w:r>
      <w:r>
        <w:t xml:space="preserve"> </w:t>
      </w:r>
      <w:r>
        <w:t xml:space="preserve">del libro Excel.</w:t>
      </w:r>
    </w:p>
    <w:bookmarkEnd w:id="39"/>
    <w:bookmarkStart w:id="40" w:name="sectores-con-diagonal-cero"/>
    <w:p>
      <w:pPr>
        <w:pStyle w:val="Heading2"/>
      </w:pPr>
      <w:r>
        <w:t xml:space="preserve">Sectores con diagonal cero</w:t>
      </w:r>
    </w:p>
    <w:p>
      <w:pPr>
        <w:pStyle w:val="FirstParagraph"/>
      </w:pPr>
      <w:r>
        <w:t xml:space="preserve">Una actividad con</w:t>
      </w:r>
      <w:r>
        <w:t xml:space="preserve"> </w:t>
      </w:r>
      <m:oMath>
        <m:sSub>
          <m:e>
            <m:r>
              <m:t>z</m:t>
            </m:r>
          </m:e>
          <m:sub>
            <m:r>
              <m:t>i</m:t>
            </m:r>
            <m:r>
              <m:t>i</m:t>
            </m:r>
          </m:sub>
        </m:sSub>
        <m:r>
          <m:rPr>
            <m:sty m:val="p"/>
          </m:rPr>
          <m:t>=</m:t>
        </m:r>
        <m:r>
          <m:t>0</m:t>
        </m:r>
      </m:oMath>
      <w:r>
        <w:t xml:space="preserve"> </w:t>
      </w:r>
      <w:r>
        <w:rPr>
          <w:i/>
          <w:iCs/>
        </w:rPr>
        <w:t xml:space="preserve">no</w:t>
      </w:r>
      <w:r>
        <w:t xml:space="preserve"> </w:t>
      </w:r>
      <w:r>
        <w:t xml:space="preserve">se elimina automáticamente. Si el sector</w:t>
      </w:r>
      <w:r>
        <w:t xml:space="preserve"> </w:t>
      </w:r>
      <w:r>
        <w:t xml:space="preserve">registra producción, valor agregado, ventas, compras o demanda final, se</w:t>
      </w:r>
      <w:r>
        <w:t xml:space="preserve"> </w:t>
      </w:r>
      <w:r>
        <w:t xml:space="preserve">conserva; la diagonal nula solo indica ausencia de autoconsumo. Estos casos se</w:t>
      </w:r>
      <w:r>
        <w:t xml:space="preserve"> </w:t>
      </w:r>
      <w:r>
        <w:t xml:space="preserve">documentan como</w:t>
      </w:r>
      <w:r>
        <w:t xml:space="preserve"> </w:t>
      </w:r>
      <w:r>
        <w:rPr>
          <w:rStyle w:val="VerbatimChar"/>
        </w:rPr>
        <w:t xml:space="preserve">diagonal_cero_con_flujos</w:t>
      </w:r>
      <w:r>
        <w:t xml:space="preserve"> </w:t>
      </w:r>
      <w:r>
        <w:t xml:space="preserve">(por ejemplo, Servicios</w:t>
      </w:r>
      <w:r>
        <w:t xml:space="preserve"> </w:t>
      </w:r>
      <w:r>
        <w:t xml:space="preserve">Domésticos en Argentina).</w:t>
      </w:r>
    </w:p>
    <w:bookmarkEnd w:id="40"/>
    <w:bookmarkStart w:id="41" w:name="resumen-del-procedimiento"/>
    <w:p>
      <w:pPr>
        <w:pStyle w:val="Heading2"/>
      </w:pPr>
      <w:r>
        <w:t xml:space="preserve">Resumen del procedimiento</w:t>
      </w:r>
    </w:p>
    <w:p>
      <w:pPr>
        <w:numPr>
          <w:ilvl w:val="0"/>
          <w:numId w:val="1006"/>
        </w:numPr>
      </w:pPr>
      <w:r>
        <w:t xml:space="preserve">Leer y normalizar el COU de la fuente (</w:t>
      </w:r>
      <m:oMath>
        <m:r>
          <m:t>V</m:t>
        </m:r>
      </m:oMath>
      <w:r>
        <w:t xml:space="preserve">,</w:t>
      </w:r>
      <w:r>
        <w:t xml:space="preserve"> </w:t>
      </w:r>
      <m:oMath>
        <m:r>
          <m:t>U</m:t>
        </m:r>
      </m:oMath>
      <w:r>
        <w:t xml:space="preserve">, demanda final, VA).</w:t>
      </w:r>
    </w:p>
    <w:p>
      <w:pPr>
        <w:numPr>
          <w:ilvl w:val="0"/>
          <w:numId w:val="1006"/>
        </w:numPr>
      </w:pPr>
      <w:r>
        <w:t xml:space="preserve">Separar uso nacional de importado y llevar</w:t>
      </w:r>
      <w:r>
        <w:t xml:space="preserve"> </w:t>
      </w:r>
      <m:oMath>
        <m:r>
          <m:t>U</m:t>
        </m:r>
      </m:oMath>
      <w:r>
        <w:t xml:space="preserve"> </w:t>
      </w:r>
      <w:r>
        <w:t xml:space="preserve">a precios básicos.</w:t>
      </w:r>
    </w:p>
    <w:p>
      <w:pPr>
        <w:numPr>
          <w:ilvl w:val="0"/>
          <w:numId w:val="1006"/>
        </w:numPr>
      </w:pPr>
      <w:r>
        <w:t xml:space="preserve">Calcular</w:t>
      </w:r>
      <w:r>
        <w:t xml:space="preserve"> </w:t>
      </w:r>
      <m:oMath>
        <m:r>
          <m:t>D</m:t>
        </m:r>
        <m:r>
          <m:rPr>
            <m:sty m:val="p"/>
          </m:rPr>
          <m:t>=</m:t>
        </m:r>
        <m:r>
          <m:t>V</m:t>
        </m:r>
        <m:sSup>
          <m:e>
            <m:acc>
              <m:accPr>
                <m:chr m:val="̂"/>
              </m:accPr>
              <m:e>
                <m:r>
                  <m:t>q</m:t>
                </m:r>
              </m:e>
            </m:acc>
          </m:e>
          <m:sup>
            <m:r>
              <m:rPr>
                <m:sty m:val="p"/>
              </m:rPr>
              <m:t>−</m:t>
            </m:r>
            <m:r>
              <m:t>1</m:t>
            </m:r>
          </m:sup>
        </m:sSup>
      </m:oMath>
      <w:r>
        <w:t xml:space="preserve"> </w:t>
      </w:r>
      <w:r>
        <w:t xml:space="preserve">y</w:t>
      </w:r>
      <w:r>
        <w:t xml:space="preserve"> </w:t>
      </w:r>
      <m:oMath>
        <m:r>
          <m:t>Z</m:t>
        </m:r>
        <m:r>
          <m:rPr>
            <m:sty m:val="p"/>
          </m:rPr>
          <m:t>=</m:t>
        </m:r>
        <m:r>
          <m:t>D</m:t>
        </m:r>
        <m:r>
          <m:t> </m:t>
        </m:r>
        <m:sSub>
          <m:e>
            <m:r>
              <m:t>U</m:t>
            </m:r>
          </m:e>
          <m:sub>
            <m:r>
              <m:rPr>
                <m:nor/>
                <m:sty m:val="p"/>
              </m:rPr>
              <m:t>nacional</m:t>
            </m:r>
          </m:sub>
        </m:sSub>
      </m:oMath>
      <w:r>
        <w:t xml:space="preserve">.</w:t>
      </w:r>
    </w:p>
    <w:p>
      <w:pPr>
        <w:numPr>
          <w:ilvl w:val="0"/>
          <w:numId w:val="1006"/>
        </w:numPr>
      </w:pPr>
      <w:r>
        <w:t xml:space="preserve">Derivar</w:t>
      </w:r>
      <w:r>
        <w:t xml:space="preserve"> </w:t>
      </w:r>
      <m:oMath>
        <m:r>
          <m:t>A</m:t>
        </m:r>
        <m:r>
          <m:rPr>
            <m:sty m:val="p"/>
          </m:rPr>
          <m:t>,</m:t>
        </m:r>
        <m:r>
          <m:t>L</m:t>
        </m:r>
        <m:r>
          <m:rPr>
            <m:sty m:val="p"/>
          </m:rPr>
          <m:t>,</m:t>
        </m:r>
        <m:r>
          <m:t>B</m:t>
        </m:r>
        <m:r>
          <m:rPr>
            <m:sty m:val="p"/>
          </m:rPr>
          <m:t>,</m:t>
        </m:r>
        <m:r>
          <m:t>G</m:t>
        </m:r>
      </m:oMath>
      <w:r>
        <w:t xml:space="preserve"> </w:t>
      </w:r>
      <w:r>
        <w:t xml:space="preserve">y cerrar la demanda final.</w:t>
      </w:r>
    </w:p>
    <w:p>
      <w:pPr>
        <w:numPr>
          <w:ilvl w:val="0"/>
          <w:numId w:val="1006"/>
        </w:numPr>
      </w:pPr>
      <w:r>
        <w:t xml:space="preserve">Verificar la inversa de Leontief y los multiplicadores.</w:t>
      </w:r>
    </w:p>
    <w:p>
      <w:pPr>
        <w:numPr>
          <w:ilvl w:val="0"/>
          <w:numId w:val="1006"/>
        </w:numPr>
      </w:pPr>
      <w:r>
        <w:t xml:space="preserve">Empaquetar el resultado en Excel con todas las hojas de trazabilidad.</w:t>
      </w:r>
    </w:p>
    <w:bookmarkEnd w:id="41"/>
    <w:bookmarkEnd w:id="42"/>
    <w:bookmarkStart w:id="47" w:name="sec:fuentes"/>
    <w:p>
      <w:pPr>
        <w:pStyle w:val="Heading1"/>
      </w:pPr>
      <w:r>
        <w:t xml:space="preserve">Fuentes de Datos por País</w:t>
      </w:r>
    </w:p>
    <w:bookmarkStart w:id="43" w:name="argentina-indec-cepal."/>
    <w:p>
      <w:pPr>
        <w:pStyle w:val="Heading4"/>
      </w:pPr>
      <w:r>
        <w:t xml:space="preserve">Argentina (INDEC / CEPAL).</w:t>
      </w:r>
    </w:p>
    <w:p>
      <w:pPr>
        <w:pStyle w:val="FirstParagraph"/>
      </w:pPr>
      <w:r>
        <w:t xml:space="preserve">MIP directa de 1997 (MIPAr97). COU de 2004 (año base) y 2018–2022. Los años</w:t>
      </w:r>
      <w:r>
        <w:t xml:space="preserve"> </w:t>
      </w:r>
      <w:r>
        <w:t xml:space="preserve">2005–2017</w:t>
      </w:r>
      <w:r>
        <w:t xml:space="preserve"> </w:t>
      </w:r>
      <w:r>
        <w:rPr>
          <w:i/>
          <w:iCs/>
        </w:rPr>
        <w:t xml:space="preserve">no</w:t>
      </w:r>
      <w:r>
        <w:t xml:space="preserve"> </w:t>
      </w:r>
      <w:r>
        <w:t xml:space="preserve">están disponibles como COU publicado: el repositorio CEPAL</w:t>
      </w:r>
      <w:r>
        <w:t xml:space="preserve"> </w:t>
      </w:r>
      <w:r>
        <w:t xml:space="preserve">solo ofrece 2004, 2018, 2019, 2020 y 2021, e INDEC añade 2022. Ese hueco no puede</w:t>
      </w:r>
      <w:r>
        <w:t xml:space="preserve"> </w:t>
      </w:r>
      <w:r>
        <w:t xml:space="preserve">llenarse con fuente pública.</w:t>
      </w:r>
    </w:p>
    <w:bookmarkEnd w:id="43"/>
    <w:bookmarkStart w:id="44" w:name="brasil-ibge-cepal."/>
    <w:p>
      <w:pPr>
        <w:pStyle w:val="Heading4"/>
      </w:pPr>
      <w:r>
        <w:t xml:space="preserve">Brasil (IBGE / CEPAL).</w:t>
      </w:r>
    </w:p>
    <w:p>
      <w:pPr>
        <w:pStyle w:val="FirstParagraph"/>
      </w:pPr>
      <w:r>
        <w:t xml:space="preserve">Serie reconstruida 2000–2021. Para 2000–2009 se usa el COU de la CEPAL con base</w:t>
      </w:r>
      <w:r>
        <w:t xml:space="preserve"> </w:t>
      </w:r>
      <w:r>
        <w:t xml:space="preserve">2000; para 2010–2021, las Tablas de Recursos e Usos (TRU) del IBGE a nivel 68.</w:t>
      </w:r>
    </w:p>
    <w:bookmarkEnd w:id="44"/>
    <w:bookmarkStart w:id="45" w:name="méxico-inegi-cepal."/>
    <w:p>
      <w:pPr>
        <w:pStyle w:val="Heading4"/>
      </w:pPr>
      <w:r>
        <w:t xml:space="preserve">México (INEGI / CEPAL).</w:t>
      </w:r>
    </w:p>
    <w:p>
      <w:pPr>
        <w:pStyle w:val="FirstParagraph"/>
      </w:pPr>
      <w:r>
        <w:t xml:space="preserve">MIP directas de 2003, 2008, 2013 y 2018, publicadas por INEGI/CEPAL al nivel de</w:t>
      </w:r>
      <w:r>
        <w:t xml:space="preserve"> </w:t>
      </w:r>
      <w:r>
        <w:t xml:space="preserve">rama SCIAN. A 2008 y 2013 se les adjunta su COU matricial de referencia; 2003 y</w:t>
      </w:r>
      <w:r>
        <w:t xml:space="preserve"> </w:t>
      </w:r>
      <w:r>
        <w:t xml:space="preserve">2018 no disponen de un COU compatible por rama.</w:t>
      </w:r>
    </w:p>
    <w:bookmarkEnd w:id="45"/>
    <w:bookmarkStart w:id="46" w:name="uruguay-bcu-cepal."/>
    <w:p>
      <w:pPr>
        <w:pStyle w:val="Heading4"/>
      </w:pPr>
      <w:r>
        <w:t xml:space="preserve">Uruguay (BCU / CEPAL).</w:t>
      </w:r>
    </w:p>
    <w:p>
      <w:pPr>
        <w:pStyle w:val="FirstParagraph"/>
      </w:pPr>
      <w:r>
        <w:t xml:space="preserve">MIP directa de 2016 (BCU). Reconstrucciones desde COU detallado para 2012 y 2017.</w:t>
      </w:r>
      <w:r>
        <w:t xml:space="preserve"> </w:t>
      </w:r>
      <w:r>
        <w:t xml:space="preserve">El COU 2012, publicado por el BCU en una hoja única que apila oferta, utilización</w:t>
      </w:r>
      <w:r>
        <w:t xml:space="preserve"> </w:t>
      </w:r>
      <w:r>
        <w:t xml:space="preserve">y valor agregado (134 productos</w:t>
      </w:r>
      <w:r>
        <w:t xml:space="preserve"> </w:t>
      </w:r>
      <m:oMath>
        <m:r>
          <m:rPr>
            <m:sty m:val="p"/>
          </m:rPr>
          <m:t>×</m:t>
        </m:r>
      </m:oMath>
      <w:r>
        <w:t xml:space="preserve"> </w:t>
      </w:r>
      <w:r>
        <w:t xml:space="preserve">107 industrias), se reconstruye con el</w:t>
      </w:r>
      <w:r>
        <w:t xml:space="preserve"> </w:t>
      </w:r>
      <w:r>
        <w:t xml:space="preserve">mismo procedimiento que 2017.</w:t>
      </w:r>
    </w:p>
    <w:p>
      <w:pPr>
        <w:pStyle w:val="BodyText"/>
      </w:pPr>
      <w:r>
        <w:rPr>
          <w:b/>
          <w:bCs/>
        </w:rPr>
        <w:t xml:space="preserve">Trazabilidad de fuentes.</w:t>
      </w:r>
      <w:r>
        <w:t xml:space="preserve"> </w:t>
      </w:r>
      <w:r>
        <w:t xml:space="preserve">Al agregar una fuente nueva se</w:t>
      </w:r>
      <w:r>
        <w:t xml:space="preserve"> </w:t>
      </w:r>
      <w:r>
        <w:t xml:space="preserve">actualizan simultáneamente</w:t>
      </w:r>
      <w:r>
        <w:t xml:space="preserve"> </w:t>
      </w:r>
      <w:r>
        <w:rPr>
          <w:rStyle w:val="VerbatimChar"/>
        </w:rPr>
        <w:t xml:space="preserve">FUENTES_EXTERNAS_HISTORICO.md</w:t>
      </w:r>
      <w:r>
        <w:t xml:space="preserve">, el handoff</w:t>
      </w:r>
      <w:r>
        <w:t xml:space="preserve"> </w:t>
      </w:r>
      <w:r>
        <w:t xml:space="preserve">del proyecto, y las hojas</w:t>
      </w:r>
      <w:r>
        <w:t xml:space="preserve"> </w:t>
      </w:r>
      <w:r>
        <w:rPr>
          <w:rStyle w:val="VerbatimChar"/>
        </w:rPr>
        <w:t xml:space="preserve">fuente_resumen</w:t>
      </w:r>
      <w:r>
        <w:t xml:space="preserve"> </w:t>
      </w:r>
      <w:r>
        <w:t xml:space="preserve">y</w:t>
      </w:r>
      <w:r>
        <w:t xml:space="preserve"> </w:t>
      </w:r>
      <w:r>
        <w:rPr>
          <w:rStyle w:val="VerbatimChar"/>
        </w:rPr>
        <w:t xml:space="preserve">fuente_notas</w:t>
      </w:r>
      <w:r>
        <w:t xml:space="preserve"> </w:t>
      </w:r>
      <w:r>
        <w:t xml:space="preserve">de los</w:t>
      </w:r>
      <w:r>
        <w:t xml:space="preserve"> </w:t>
      </w:r>
      <w:r>
        <w:t xml:space="preserve">libros Excel regenerados.</w:t>
      </w:r>
    </w:p>
    <w:bookmarkEnd w:id="46"/>
    <w:bookmarkEnd w:id="47"/>
    <w:bookmarkStart w:id="48" w:name="matrices-directas-y-cou-de-referencia"/>
    <w:p>
      <w:pPr>
        <w:pStyle w:val="Heading1"/>
      </w:pPr>
      <w:r>
        <w:t xml:space="preserve">Matrices Directas y COU de Referencia</w:t>
      </w:r>
    </w:p>
    <w:p>
      <w:pPr>
        <w:pStyle w:val="FirstParagraph"/>
      </w:pPr>
      <w:r>
        <w:t xml:space="preserve">Las MIP directas se publican tal cual, sin recálculo de sus celdas. Cuando existe</w:t>
      </w:r>
      <w:r>
        <w:t xml:space="preserve"> </w:t>
      </w:r>
      <w:r>
        <w:t xml:space="preserve">el COU del mismo marco, se adjunta como</w:t>
      </w:r>
      <w:r>
        <w:t xml:space="preserve"> </w:t>
      </w:r>
      <w:r>
        <w:rPr>
          <w:i/>
          <w:iCs/>
        </w:rPr>
        <w:t xml:space="preserve">referencia</w:t>
      </w:r>
      <w:r>
        <w:t xml:space="preserve"> </w:t>
      </w:r>
      <w:r>
        <w:t xml:space="preserve">dentro del mismo libro</w:t>
      </w:r>
      <w:r>
        <w:t xml:space="preserve"> </w:t>
      </w:r>
      <w:r>
        <w:t xml:space="preserve">Excel (hojas</w:t>
      </w:r>
      <w:r>
        <w:t xml:space="preserve"> </w:t>
      </w:r>
      <w:r>
        <w:rPr>
          <w:rStyle w:val="VerbatimChar"/>
        </w:rPr>
        <w:t xml:space="preserve">src_*</w:t>
      </w:r>
      <w:r>
        <w:t xml:space="preserve">), marcando el tipo</w:t>
      </w:r>
      <w:r>
        <w:t xml:space="preserve"> </w:t>
      </w:r>
      <w:r>
        <w:rPr>
          <w:rStyle w:val="VerbatimChar"/>
        </w:rPr>
        <w:t xml:space="preserve">MIP_directa_con_COU_referencia</w:t>
      </w:r>
      <w:r>
        <w:t xml:space="preserve">, sin relabelar la matriz como</w:t>
      </w:r>
      <w:r>
        <w:t xml:space="preserve"> </w:t>
      </w:r>
      <w:r>
        <w:t xml:space="preserve">reconstruida y sin tocar la auditoría. Así, cada MIP lleva su COU o, en su</w:t>
      </w:r>
      <w:r>
        <w:t xml:space="preserve"> </w:t>
      </w:r>
      <w:r>
        <w:t xml:space="preserve">defecto, una nota de fuente detallada que explica por qué no lo lleva.</w:t>
      </w:r>
    </w:p>
    <w:p>
      <w:pPr>
        <w:pStyle w:val="BodyText"/>
      </w:pPr>
      <w:r>
        <w:t xml:space="preserve">Cobertura de COU sobre las 36 matrices:</w:t>
      </w:r>
    </w:p>
    <w:p>
      <w:pPr>
        <w:numPr>
          <w:ilvl w:val="0"/>
          <w:numId w:val="1007"/>
        </w:numPr>
      </w:pPr>
      <w:r>
        <w:rPr>
          <w:b/>
          <w:bCs/>
        </w:rPr>
        <w:t xml:space="preserve">30 reconstruidas</w:t>
      </w:r>
      <w:r>
        <w:t xml:space="preserve"> </w:t>
      </w:r>
      <w:r>
        <w:t xml:space="preserve">desde COU (el COU es la fuente y se adjunta).</w:t>
      </w:r>
    </w:p>
    <w:p>
      <w:pPr>
        <w:numPr>
          <w:ilvl w:val="0"/>
          <w:numId w:val="1007"/>
        </w:numPr>
      </w:pPr>
      <w:r>
        <w:rPr>
          <w:b/>
          <w:bCs/>
        </w:rPr>
        <w:t xml:space="preserve">3 directas con COU de referencia</w:t>
      </w:r>
      <w:r>
        <w:t xml:space="preserve">: México 2008, México 2013,</w:t>
      </w:r>
      <w:r>
        <w:t xml:space="preserve"> </w:t>
      </w:r>
      <w:r>
        <w:t xml:space="preserve">Uruguay 2016.</w:t>
      </w:r>
    </w:p>
    <w:p>
      <w:pPr>
        <w:numPr>
          <w:ilvl w:val="0"/>
          <w:numId w:val="1007"/>
        </w:numPr>
      </w:pPr>
      <w:r>
        <w:rPr>
          <w:b/>
          <w:bCs/>
        </w:rPr>
        <w:t xml:space="preserve">3 directas sin COU compatible</w:t>
      </w:r>
      <w:r>
        <w:t xml:space="preserve">, con fuente explicada al inicio:</w:t>
      </w:r>
      <w:r>
        <w:t xml:space="preserve"> </w:t>
      </w:r>
      <w:r>
        <w:t xml:space="preserve">México 2003, México 2018, Argentina 1997.</w:t>
      </w:r>
    </w:p>
    <w:bookmarkEnd w:id="48"/>
    <w:bookmarkStart w:id="52" w:name="validación-y-auditoría"/>
    <w:p>
      <w:pPr>
        <w:pStyle w:val="Heading1"/>
      </w:pPr>
      <w:r>
        <w:t xml:space="preserve">Validación y Auditoría</w:t>
      </w:r>
    </w:p>
    <w:bookmarkStart w:id="49" w:name="validación-matemática"/>
    <w:p>
      <w:pPr>
        <w:pStyle w:val="Heading2"/>
      </w:pPr>
      <w:r>
        <w:t xml:space="preserve">Validación matemática</w:t>
      </w:r>
    </w:p>
    <w:p>
      <w:pPr>
        <w:pStyle w:val="FirstParagraph"/>
      </w:pPr>
      <w:r>
        <w:t xml:space="preserve">Cada MIP pasa un conjunto de pruebas estructurales: matrices cuadradas y</w:t>
      </w:r>
      <w:r>
        <w:t xml:space="preserve"> </w:t>
      </w:r>
      <w:r>
        <w:t xml:space="preserve">etiquetas alineadas (</w:t>
      </w:r>
      <m:oMath>
        <m:r>
          <m:t>Z</m:t>
        </m:r>
        <m:r>
          <m:rPr>
            <m:sty m:val="p"/>
          </m:rPr>
          <m:t>,</m:t>
        </m:r>
        <m:r>
          <m:t>A</m:t>
        </m:r>
        <m:r>
          <m:rPr>
            <m:sty m:val="p"/>
          </m:rPr>
          <m:t>,</m:t>
        </m:r>
        <m:r>
          <m:t>L</m:t>
        </m:r>
      </m:oMath>
      <w:r>
        <w:t xml:space="preserve">), no negatividad de</w:t>
      </w:r>
      <w:r>
        <w:t xml:space="preserve"> </w:t>
      </w:r>
      <m:oMath>
        <m:r>
          <m:t>Z</m:t>
        </m:r>
        <m:r>
          <m:rPr>
            <m:sty m:val="p"/>
          </m:rPr>
          <m:t>,</m:t>
        </m:r>
        <m:r>
          <m:t>A</m:t>
        </m:r>
        <m:r>
          <m:rPr>
            <m:sty m:val="p"/>
          </m:rPr>
          <m:t>,</m:t>
        </m:r>
        <m:r>
          <m:t>g</m:t>
        </m:r>
      </m:oMath>
      <w:r>
        <w:t xml:space="preserve">, consistencia de</w:t>
      </w:r>
      <w:r>
        <w:t xml:space="preserve"> </w:t>
      </w:r>
      <m:oMath>
        <m:r>
          <m:t>A</m:t>
        </m:r>
        <m:r>
          <m:rPr>
            <m:sty m:val="p"/>
          </m:rPr>
          <m:t>−</m:t>
        </m:r>
        <m:r>
          <m:t>Z</m:t>
        </m:r>
        <m:sSup>
          <m:e>
            <m:acc>
              <m:accPr>
                <m:chr m:val="̂"/>
              </m:accPr>
              <m:e>
                <m:r>
                  <m:t>g</m:t>
                </m:r>
              </m:e>
            </m:acc>
          </m:e>
          <m:sup>
            <m:r>
              <m:rPr>
                <m:sty m:val="p"/>
              </m:rPr>
              <m:t>−</m:t>
            </m:r>
            <m:r>
              <m:t>1</m:t>
            </m:r>
          </m:sup>
        </m:sSup>
      </m:oMath>
      <w:r>
        <w:t xml:space="preserve">, reproducción de la inversa de Leontief y de Ghosh, conteo de</w:t>
      </w:r>
      <w:r>
        <w:t xml:space="preserve"> </w:t>
      </w:r>
      <w:r>
        <w:t xml:space="preserve">celdas negativas y de sectores con demanda final o valor agregado residual</w:t>
      </w:r>
      <w:r>
        <w:t xml:space="preserve"> </w:t>
      </w:r>
      <w:r>
        <w:t xml:space="preserve">negativo.</w:t>
      </w:r>
    </w:p>
    <w:bookmarkEnd w:id="49"/>
    <w:bookmarkStart w:id="50" w:name="auditoría-de-cobertura-sectorial"/>
    <w:p>
      <w:pPr>
        <w:pStyle w:val="Heading2"/>
      </w:pPr>
      <w:r>
        <w:t xml:space="preserve">Auditoría de cobertura sectorial</w:t>
      </w:r>
    </w:p>
    <w:p>
      <w:pPr>
        <w:pStyle w:val="FirstParagraph"/>
      </w:pPr>
      <w:r>
        <w:t xml:space="preserve">Una auditoría independiente verifica que toda actividad presente en la fuente</w:t>
      </w:r>
      <w:r>
        <w:t xml:space="preserve"> </w:t>
      </w:r>
      <w:r>
        <w:t xml:space="preserve">quede representada como sector en la MIP final (o quede documentada su exclusión</w:t>
      </w:r>
      <w:r>
        <w:t xml:space="preserve"> </w:t>
      </w:r>
      <w:r>
        <w:t xml:space="preserve">con justificación). El objetivo operativo es</w:t>
      </w:r>
      <w:r>
        <w:t xml:space="preserve"> </w:t>
      </w:r>
      <w:r>
        <w:rPr>
          <w:i/>
          <w:iCs/>
        </w:rPr>
        <w:t xml:space="preserve">cero</w:t>
      </w:r>
      <w:r>
        <w:t xml:space="preserve"> </w:t>
      </w:r>
      <w:r>
        <w:t xml:space="preserve">actividades de fuente sin</w:t>
      </w:r>
      <w:r>
        <w:t xml:space="preserve"> </w:t>
      </w:r>
      <w:r>
        <w:t xml:space="preserve">incorporar.</w:t>
      </w:r>
    </w:p>
    <w:bookmarkEnd w:id="50"/>
    <w:bookmarkStart w:id="51" w:name="alertas-metodológicas"/>
    <w:p>
      <w:pPr>
        <w:pStyle w:val="Heading2"/>
      </w:pPr>
      <w:r>
        <w:t xml:space="preserve">Alertas metodológicas</w:t>
      </w:r>
    </w:p>
    <w:p>
      <w:pPr>
        <w:pStyle w:val="FirstParagraph"/>
      </w:pPr>
      <w:r>
        <w:t xml:space="preserve">Algunas pruebas son diagnósticas: pueden señalar avisos económicos (por ejemplo,</w:t>
      </w:r>
      <w:r>
        <w:t xml:space="preserve"> </w:t>
      </w:r>
      <w:r>
        <w:t xml:space="preserve">demanda final negativa en ciertos productos) sin invalidar el álgebra matricial.</w:t>
      </w:r>
      <w:r>
        <w:t xml:space="preserve"> </w:t>
      </w:r>
      <w:r>
        <w:t xml:space="preserve">El caso más sensible es Uruguay, donde el cierre residual a precios básicos genera</w:t>
      </w:r>
      <w:r>
        <w:t xml:space="preserve"> </w:t>
      </w:r>
      <w:r>
        <w:t xml:space="preserve">demandas finales negativas en algunos productos; se mantiene la alerta en lugar de</w:t>
      </w:r>
      <w:r>
        <w:t xml:space="preserve"> </w:t>
      </w:r>
      <w:r>
        <w:t xml:space="preserve">conciliar cifras materiales.</w:t>
      </w:r>
    </w:p>
    <w:bookmarkEnd w:id="51"/>
    <w:bookmarkEnd w:id="52"/>
    <w:bookmarkStart w:id="54" w:name="inventario-de-matrices"/>
    <w:p>
      <w:pPr>
        <w:pStyle w:val="Heading1"/>
      </w:pPr>
      <w:r>
        <w:t xml:space="preserve">Inventario de Matrices</w:t>
      </w:r>
    </w:p>
    <w:p>
      <w:pPr>
        <w:pStyle w:val="FirstParagraph"/>
      </w:pPr>
      <w:r>
        <w:t xml:space="preserve">El Cuadro </w:t>
      </w:r>
      <w:hyperlink w:anchor="tab:inventario">
        <w:r>
          <w:rPr>
            <w:rStyle w:val="Hyperlink"/>
          </w:rPr>
          <w:t xml:space="preserve">1</w:t>
        </w:r>
      </w:hyperlink>
      <w:r>
        <w:t xml:space="preserve"> </w:t>
      </w:r>
      <w:r>
        <w:t xml:space="preserve">lista las 36 matrices de la serie con su tipo,</w:t>
      </w:r>
      <w:r>
        <w:t xml:space="preserve"> </w:t>
      </w:r>
      <w:r>
        <w:t xml:space="preserve">nivel sectorial y fuente.</w:t>
      </w:r>
    </w:p>
    <w:bookmarkStart w:id="53" w:name="tab:inventario"/>
    <w:p>
      <w:pPr>
        <w:pStyle w:val="TableCaption"/>
      </w:pPr>
      <w:r>
        <w:t xml:space="preserve">Inventario de las 36 matrices insumo-producto de la serie. Validación</w:t>
      </w:r>
      <w:r>
        <w:t xml:space="preserve"> </w:t>
      </w:r>
      <w:r>
        <w:t xml:space="preserve">estructural: 36/36 OK; auditoría: 0 sectores de fuente pendientes por</w:t>
      </w:r>
      <w:r>
        <w:t xml:space="preserve"> </w:t>
      </w:r>
      <w:r>
        <w:t xml:space="preserve">incorporar.</w:t>
      </w:r>
    </w:p>
    <w:tbl>
      <w:tblPr>
        <w:tblStyle w:val="Table"/>
        <w:tblW w:type="auto" w:w="0"/>
        <w:tblLook w:firstRow="1" w:lastRow="0" w:firstColumn="0" w:lastColumn="0" w:noHBand="0" w:noVBand="0" w:val="0020"/>
        <w:tblCaption w:val="Inventario de las 36 matrices insumo-producto de la serie. Validación estructural: 36/36 OK; auditoría: 0 sectores de fuente pendientes por incorporar."/>
      </w:tblPr>
      <w:tblGrid>
        <w:gridCol w:w="1584"/>
        <w:gridCol w:w="1584"/>
        <w:gridCol w:w="1584"/>
        <w:gridCol w:w="1584"/>
        <w:gridCol w:w="1584"/>
      </w:tblGrid>
      <w:tr>
        <w:trPr>
          <w:tblHeader w:val="on"/>
        </w:trPr>
        <w:tc>
          <w:tcPr/>
          <w:p>
            <w:pPr>
              <w:pStyle w:val="Compact"/>
              <w:jc w:val="left"/>
            </w:pPr>
            <w:r>
              <w:rPr>
                <w:b/>
                <w:bCs/>
              </w:rPr>
              <w:t xml:space="preserve">País</w:t>
            </w:r>
          </w:p>
        </w:tc>
        <w:tc>
          <w:tcPr/>
          <w:p>
            <w:pPr>
              <w:pStyle w:val="Compact"/>
              <w:jc w:val="left"/>
            </w:pPr>
            <w:r>
              <w:rPr>
                <w:b/>
                <w:bCs/>
              </w:rPr>
              <w:t xml:space="preserve">Año</w:t>
            </w:r>
          </w:p>
        </w:tc>
        <w:tc>
          <w:tcPr/>
          <w:p>
            <w:pPr>
              <w:pStyle w:val="Compact"/>
              <w:jc w:val="right"/>
            </w:pPr>
            <w:r>
              <w:rPr>
                <w:b/>
                <w:bCs/>
              </w:rPr>
              <w:t xml:space="preserve">Sect.</w:t>
            </w:r>
          </w:p>
        </w:tc>
        <w:tc>
          <w:tcPr/>
          <w:p>
            <w:pPr>
              <w:pStyle w:val="Compact"/>
              <w:jc w:val="left"/>
            </w:pPr>
            <w:r>
              <w:rPr>
                <w:b/>
                <w:bCs/>
              </w:rPr>
              <w:t xml:space="preserve">Tipo</w:t>
            </w:r>
          </w:p>
        </w:tc>
        <w:tc>
          <w:tcPr/>
          <w:p>
            <w:pPr>
              <w:pStyle w:val="Compact"/>
              <w:jc w:val="left"/>
            </w:pPr>
            <w:r>
              <w:rPr>
                <w:b/>
                <w:bCs/>
              </w:rPr>
              <w:t xml:space="preserve">Fuente</w:t>
            </w:r>
          </w:p>
        </w:tc>
      </w:tr>
      <w:tr>
        <w:tc>
          <w:tcPr/>
          <w:p>
            <w:pPr>
              <w:pStyle w:val="Compact"/>
              <w:jc w:val="left"/>
            </w:pPr>
            <w:r>
              <w:t xml:space="preserve">Argentina</w:t>
            </w:r>
          </w:p>
        </w:tc>
        <w:tc>
          <w:tcPr/>
          <w:p>
            <w:pPr>
              <w:pStyle w:val="Compact"/>
              <w:jc w:val="left"/>
            </w:pPr>
            <w:r>
              <w:t xml:space="preserve">1997</w:t>
            </w:r>
          </w:p>
        </w:tc>
        <w:tc>
          <w:tcPr/>
          <w:p>
            <w:pPr>
              <w:pStyle w:val="Compact"/>
              <w:jc w:val="right"/>
            </w:pPr>
            <w:r>
              <w:t xml:space="preserve">124</w:t>
            </w:r>
          </w:p>
        </w:tc>
        <w:tc>
          <w:tcPr/>
          <w:p>
            <w:pPr>
              <w:pStyle w:val="Compact"/>
              <w:jc w:val="left"/>
            </w:pPr>
            <w:r>
              <w:t xml:space="preserve">Directa</w:t>
            </w:r>
          </w:p>
        </w:tc>
        <w:tc>
          <w:tcPr/>
          <w:p>
            <w:pPr>
              <w:pStyle w:val="Compact"/>
              <w:jc w:val="left"/>
            </w:pPr>
            <w:r>
              <w:t xml:space="preserve">MIPAr97 INDEC</w:t>
            </w:r>
          </w:p>
        </w:tc>
      </w:tr>
      <w:tr>
        <w:tc>
          <w:tcPr/>
          <w:p>
            <w:pPr>
              <w:pStyle w:val="Compact"/>
              <w:jc w:val="left"/>
            </w:pPr>
            <w:r>
              <w:t xml:space="preserve">Argentina</w:t>
            </w:r>
          </w:p>
        </w:tc>
        <w:tc>
          <w:tcPr/>
          <w:p>
            <w:pPr>
              <w:pStyle w:val="Compact"/>
              <w:jc w:val="left"/>
            </w:pPr>
            <w:r>
              <w:t xml:space="preserve">2004</w:t>
            </w:r>
          </w:p>
        </w:tc>
        <w:tc>
          <w:tcPr/>
          <w:p>
            <w:pPr>
              <w:pStyle w:val="Compact"/>
              <w:jc w:val="right"/>
            </w:pPr>
            <w:r>
              <w:t xml:space="preserve">162</w:t>
            </w:r>
          </w:p>
        </w:tc>
        <w:tc>
          <w:tcPr/>
          <w:p>
            <w:pPr>
              <w:pStyle w:val="Compact"/>
              <w:jc w:val="left"/>
            </w:pPr>
            <w:r>
              <w:t xml:space="preserve">Reconstruida</w:t>
            </w:r>
          </w:p>
        </w:tc>
        <w:tc>
          <w:tcPr/>
          <w:p>
            <w:pPr>
              <w:pStyle w:val="Compact"/>
              <w:jc w:val="left"/>
            </w:pPr>
            <w:r>
              <w:t xml:space="preserve">COU INDEC/CEPAL</w:t>
            </w:r>
          </w:p>
        </w:tc>
      </w:tr>
      <w:tr>
        <w:tc>
          <w:tcPr/>
          <w:p>
            <w:pPr>
              <w:pStyle w:val="Compact"/>
              <w:jc w:val="left"/>
            </w:pPr>
            <w:r>
              <w:t xml:space="preserve">Argentina</w:t>
            </w:r>
          </w:p>
        </w:tc>
        <w:tc>
          <w:tcPr/>
          <w:p>
            <w:pPr>
              <w:pStyle w:val="Compact"/>
              <w:jc w:val="left"/>
            </w:pPr>
            <w:r>
              <w:t xml:space="preserve">2018</w:t>
            </w:r>
          </w:p>
        </w:tc>
        <w:tc>
          <w:tcPr/>
          <w:p>
            <w:pPr>
              <w:pStyle w:val="Compact"/>
              <w:jc w:val="right"/>
            </w:pPr>
            <w:r>
              <w:t xml:space="preserve">107</w:t>
            </w:r>
          </w:p>
        </w:tc>
        <w:tc>
          <w:tcPr/>
          <w:p>
            <w:pPr>
              <w:pStyle w:val="Compact"/>
              <w:jc w:val="left"/>
            </w:pPr>
            <w:r>
              <w:t xml:space="preserve">Reconstruida</w:t>
            </w:r>
          </w:p>
        </w:tc>
        <w:tc>
          <w:tcPr/>
          <w:p>
            <w:pPr>
              <w:pStyle w:val="Compact"/>
              <w:jc w:val="left"/>
            </w:pPr>
            <w:r>
              <w:t xml:space="preserve">COU INDEC/CEPAL</w:t>
            </w:r>
          </w:p>
        </w:tc>
      </w:tr>
      <w:tr>
        <w:tc>
          <w:tcPr/>
          <w:p>
            <w:pPr>
              <w:pStyle w:val="Compact"/>
              <w:jc w:val="left"/>
            </w:pPr>
            <w:r>
              <w:t xml:space="preserve">Argentina</w:t>
            </w:r>
          </w:p>
        </w:tc>
        <w:tc>
          <w:tcPr/>
          <w:p>
            <w:pPr>
              <w:pStyle w:val="Compact"/>
              <w:jc w:val="left"/>
            </w:pPr>
            <w:r>
              <w:t xml:space="preserve">2019</w:t>
            </w:r>
          </w:p>
        </w:tc>
        <w:tc>
          <w:tcPr/>
          <w:p>
            <w:pPr>
              <w:pStyle w:val="Compact"/>
              <w:jc w:val="right"/>
            </w:pPr>
            <w:r>
              <w:t xml:space="preserve">107</w:t>
            </w:r>
          </w:p>
        </w:tc>
        <w:tc>
          <w:tcPr/>
          <w:p>
            <w:pPr>
              <w:pStyle w:val="Compact"/>
              <w:jc w:val="left"/>
            </w:pPr>
            <w:r>
              <w:t xml:space="preserve">Reconstruida</w:t>
            </w:r>
          </w:p>
        </w:tc>
        <w:tc>
          <w:tcPr/>
          <w:p>
            <w:pPr>
              <w:pStyle w:val="Compact"/>
              <w:jc w:val="left"/>
            </w:pPr>
            <w:r>
              <w:t xml:space="preserve">COU INDEC/CEPAL</w:t>
            </w:r>
          </w:p>
        </w:tc>
      </w:tr>
      <w:tr>
        <w:tc>
          <w:tcPr/>
          <w:p>
            <w:pPr>
              <w:pStyle w:val="Compact"/>
              <w:jc w:val="left"/>
            </w:pPr>
            <w:r>
              <w:t xml:space="preserve">Argentina</w:t>
            </w:r>
          </w:p>
        </w:tc>
        <w:tc>
          <w:tcPr/>
          <w:p>
            <w:pPr>
              <w:pStyle w:val="Compact"/>
              <w:jc w:val="left"/>
            </w:pPr>
            <w:r>
              <w:t xml:space="preserve">2020</w:t>
            </w:r>
          </w:p>
        </w:tc>
        <w:tc>
          <w:tcPr/>
          <w:p>
            <w:pPr>
              <w:pStyle w:val="Compact"/>
              <w:jc w:val="right"/>
            </w:pPr>
            <w:r>
              <w:t xml:space="preserve">107</w:t>
            </w:r>
          </w:p>
        </w:tc>
        <w:tc>
          <w:tcPr/>
          <w:p>
            <w:pPr>
              <w:pStyle w:val="Compact"/>
              <w:jc w:val="left"/>
            </w:pPr>
            <w:r>
              <w:t xml:space="preserve">Reconstruida</w:t>
            </w:r>
          </w:p>
        </w:tc>
        <w:tc>
          <w:tcPr/>
          <w:p>
            <w:pPr>
              <w:pStyle w:val="Compact"/>
              <w:jc w:val="left"/>
            </w:pPr>
            <w:r>
              <w:t xml:space="preserve">COU INDEC/CEPAL</w:t>
            </w:r>
          </w:p>
        </w:tc>
      </w:tr>
      <w:tr>
        <w:tc>
          <w:tcPr/>
          <w:p>
            <w:pPr>
              <w:pStyle w:val="Compact"/>
              <w:jc w:val="left"/>
            </w:pPr>
            <w:r>
              <w:t xml:space="preserve">Argentina</w:t>
            </w:r>
          </w:p>
        </w:tc>
        <w:tc>
          <w:tcPr/>
          <w:p>
            <w:pPr>
              <w:pStyle w:val="Compact"/>
              <w:jc w:val="left"/>
            </w:pPr>
            <w:r>
              <w:t xml:space="preserve">2021</w:t>
            </w:r>
          </w:p>
        </w:tc>
        <w:tc>
          <w:tcPr/>
          <w:p>
            <w:pPr>
              <w:pStyle w:val="Compact"/>
              <w:jc w:val="right"/>
            </w:pPr>
            <w:r>
              <w:t xml:space="preserve">107</w:t>
            </w:r>
          </w:p>
        </w:tc>
        <w:tc>
          <w:tcPr/>
          <w:p>
            <w:pPr>
              <w:pStyle w:val="Compact"/>
              <w:jc w:val="left"/>
            </w:pPr>
            <w:r>
              <w:t xml:space="preserve">Reconstruida</w:t>
            </w:r>
          </w:p>
        </w:tc>
        <w:tc>
          <w:tcPr/>
          <w:p>
            <w:pPr>
              <w:pStyle w:val="Compact"/>
              <w:jc w:val="left"/>
            </w:pPr>
            <w:r>
              <w:t xml:space="preserve">COU INDEC/CEPAL</w:t>
            </w:r>
          </w:p>
        </w:tc>
      </w:tr>
      <w:tr>
        <w:tc>
          <w:tcPr/>
          <w:p>
            <w:pPr>
              <w:pStyle w:val="Compact"/>
              <w:jc w:val="left"/>
            </w:pPr>
            <w:r>
              <w:t xml:space="preserve">Argentina</w:t>
            </w:r>
          </w:p>
        </w:tc>
        <w:tc>
          <w:tcPr/>
          <w:p>
            <w:pPr>
              <w:pStyle w:val="Compact"/>
              <w:jc w:val="left"/>
            </w:pPr>
            <w:r>
              <w:t xml:space="preserve">2022</w:t>
            </w:r>
          </w:p>
        </w:tc>
        <w:tc>
          <w:tcPr/>
          <w:p>
            <w:pPr>
              <w:pStyle w:val="Compact"/>
              <w:jc w:val="right"/>
            </w:pPr>
            <w:r>
              <w:t xml:space="preserve">107</w:t>
            </w:r>
          </w:p>
        </w:tc>
        <w:tc>
          <w:tcPr/>
          <w:p>
            <w:pPr>
              <w:pStyle w:val="Compact"/>
              <w:jc w:val="left"/>
            </w:pPr>
            <w:r>
              <w:t xml:space="preserve">Reconstruida</w:t>
            </w:r>
          </w:p>
        </w:tc>
        <w:tc>
          <w:tcPr/>
          <w:p>
            <w:pPr>
              <w:pStyle w:val="Compact"/>
              <w:jc w:val="left"/>
            </w:pPr>
            <w:r>
              <w:t xml:space="preserve">COU INDEC/CEPAL</w:t>
            </w:r>
          </w:p>
        </w:tc>
      </w:tr>
      <w:tr>
        <w:tc>
          <w:tcPr/>
          <w:p>
            <w:pPr>
              <w:pStyle w:val="Compact"/>
              <w:jc w:val="left"/>
            </w:pPr>
            <w:r>
              <w:t xml:space="preserve">Brasil</w:t>
            </w:r>
          </w:p>
        </w:tc>
        <w:tc>
          <w:tcPr/>
          <w:p>
            <w:pPr>
              <w:pStyle w:val="Compact"/>
              <w:jc w:val="left"/>
            </w:pPr>
            <w:r>
              <w:t xml:space="preserve">2000</w:t>
            </w:r>
          </w:p>
        </w:tc>
        <w:tc>
          <w:tcPr/>
          <w:p>
            <w:pPr>
              <w:pStyle w:val="Compact"/>
              <w:jc w:val="right"/>
            </w:pPr>
            <w:r>
              <w:t xml:space="preserve">51</w:t>
            </w:r>
          </w:p>
        </w:tc>
        <w:tc>
          <w:tcPr/>
          <w:p>
            <w:pPr>
              <w:pStyle w:val="Compact"/>
              <w:jc w:val="left"/>
            </w:pPr>
            <w:r>
              <w:t xml:space="preserve">Reconstruida</w:t>
            </w:r>
          </w:p>
        </w:tc>
        <w:tc>
          <w:tcPr/>
          <w:p>
            <w:pPr>
              <w:pStyle w:val="Compact"/>
              <w:jc w:val="left"/>
            </w:pPr>
            <w:r>
              <w:t xml:space="preserve">COU CEPAL base 2000</w:t>
            </w:r>
          </w:p>
        </w:tc>
      </w:tr>
      <w:tr>
        <w:tc>
          <w:tcPr/>
          <w:p>
            <w:pPr>
              <w:pStyle w:val="Compact"/>
              <w:jc w:val="left"/>
            </w:pPr>
            <w:r>
              <w:t xml:space="preserve">Brasil</w:t>
            </w:r>
          </w:p>
        </w:tc>
        <w:tc>
          <w:tcPr/>
          <w:p>
            <w:pPr>
              <w:pStyle w:val="Compact"/>
              <w:jc w:val="left"/>
            </w:pPr>
            <w:r>
              <w:t xml:space="preserve">2001</w:t>
            </w:r>
          </w:p>
        </w:tc>
        <w:tc>
          <w:tcPr/>
          <w:p>
            <w:pPr>
              <w:pStyle w:val="Compact"/>
              <w:jc w:val="right"/>
            </w:pPr>
            <w:r>
              <w:t xml:space="preserve">51</w:t>
            </w:r>
          </w:p>
        </w:tc>
        <w:tc>
          <w:tcPr/>
          <w:p>
            <w:pPr>
              <w:pStyle w:val="Compact"/>
              <w:jc w:val="left"/>
            </w:pPr>
            <w:r>
              <w:t xml:space="preserve">Reconstruida</w:t>
            </w:r>
          </w:p>
        </w:tc>
        <w:tc>
          <w:tcPr/>
          <w:p>
            <w:pPr>
              <w:pStyle w:val="Compact"/>
              <w:jc w:val="left"/>
            </w:pPr>
            <w:r>
              <w:t xml:space="preserve">COU CEPAL base 2000</w:t>
            </w:r>
          </w:p>
        </w:tc>
      </w:tr>
      <w:tr>
        <w:tc>
          <w:tcPr/>
          <w:p>
            <w:pPr>
              <w:pStyle w:val="Compact"/>
              <w:jc w:val="left"/>
            </w:pPr>
            <w:r>
              <w:t xml:space="preserve">Brasil</w:t>
            </w:r>
          </w:p>
        </w:tc>
        <w:tc>
          <w:tcPr/>
          <w:p>
            <w:pPr>
              <w:pStyle w:val="Compact"/>
              <w:jc w:val="left"/>
            </w:pPr>
            <w:r>
              <w:t xml:space="preserve">2002</w:t>
            </w:r>
          </w:p>
        </w:tc>
        <w:tc>
          <w:tcPr/>
          <w:p>
            <w:pPr>
              <w:pStyle w:val="Compact"/>
              <w:jc w:val="right"/>
            </w:pPr>
            <w:r>
              <w:t xml:space="preserve">51</w:t>
            </w:r>
          </w:p>
        </w:tc>
        <w:tc>
          <w:tcPr/>
          <w:p>
            <w:pPr>
              <w:pStyle w:val="Compact"/>
              <w:jc w:val="left"/>
            </w:pPr>
            <w:r>
              <w:t xml:space="preserve">Reconstruida</w:t>
            </w:r>
          </w:p>
        </w:tc>
        <w:tc>
          <w:tcPr/>
          <w:p>
            <w:pPr>
              <w:pStyle w:val="Compact"/>
              <w:jc w:val="left"/>
            </w:pPr>
            <w:r>
              <w:t xml:space="preserve">COU CEPAL base 2000</w:t>
            </w:r>
          </w:p>
        </w:tc>
      </w:tr>
      <w:tr>
        <w:tc>
          <w:tcPr/>
          <w:p>
            <w:pPr>
              <w:pStyle w:val="Compact"/>
              <w:jc w:val="left"/>
            </w:pPr>
            <w:r>
              <w:t xml:space="preserve">Brasil</w:t>
            </w:r>
          </w:p>
        </w:tc>
        <w:tc>
          <w:tcPr/>
          <w:p>
            <w:pPr>
              <w:pStyle w:val="Compact"/>
              <w:jc w:val="left"/>
            </w:pPr>
            <w:r>
              <w:t xml:space="preserve">2003</w:t>
            </w:r>
          </w:p>
        </w:tc>
        <w:tc>
          <w:tcPr/>
          <w:p>
            <w:pPr>
              <w:pStyle w:val="Compact"/>
              <w:jc w:val="right"/>
            </w:pPr>
            <w:r>
              <w:t xml:space="preserve">51</w:t>
            </w:r>
          </w:p>
        </w:tc>
        <w:tc>
          <w:tcPr/>
          <w:p>
            <w:pPr>
              <w:pStyle w:val="Compact"/>
              <w:jc w:val="left"/>
            </w:pPr>
            <w:r>
              <w:t xml:space="preserve">Reconstruida</w:t>
            </w:r>
          </w:p>
        </w:tc>
        <w:tc>
          <w:tcPr/>
          <w:p>
            <w:pPr>
              <w:pStyle w:val="Compact"/>
              <w:jc w:val="left"/>
            </w:pPr>
            <w:r>
              <w:t xml:space="preserve">COU CEPAL base 2000</w:t>
            </w:r>
          </w:p>
        </w:tc>
      </w:tr>
      <w:tr>
        <w:tc>
          <w:tcPr/>
          <w:p>
            <w:pPr>
              <w:pStyle w:val="Compact"/>
              <w:jc w:val="left"/>
            </w:pPr>
            <w:r>
              <w:t xml:space="preserve">Brasil</w:t>
            </w:r>
          </w:p>
        </w:tc>
        <w:tc>
          <w:tcPr/>
          <w:p>
            <w:pPr>
              <w:pStyle w:val="Compact"/>
              <w:jc w:val="left"/>
            </w:pPr>
            <w:r>
              <w:t xml:space="preserve">2004</w:t>
            </w:r>
          </w:p>
        </w:tc>
        <w:tc>
          <w:tcPr/>
          <w:p>
            <w:pPr>
              <w:pStyle w:val="Compact"/>
              <w:jc w:val="right"/>
            </w:pPr>
            <w:r>
              <w:t xml:space="preserve">51</w:t>
            </w:r>
          </w:p>
        </w:tc>
        <w:tc>
          <w:tcPr/>
          <w:p>
            <w:pPr>
              <w:pStyle w:val="Compact"/>
              <w:jc w:val="left"/>
            </w:pPr>
            <w:r>
              <w:t xml:space="preserve">Reconstruida</w:t>
            </w:r>
          </w:p>
        </w:tc>
        <w:tc>
          <w:tcPr/>
          <w:p>
            <w:pPr>
              <w:pStyle w:val="Compact"/>
              <w:jc w:val="left"/>
            </w:pPr>
            <w:r>
              <w:t xml:space="preserve">COU CEPAL base 2000</w:t>
            </w:r>
          </w:p>
        </w:tc>
      </w:tr>
      <w:tr>
        <w:tc>
          <w:tcPr/>
          <w:p>
            <w:pPr>
              <w:pStyle w:val="Compact"/>
              <w:jc w:val="left"/>
            </w:pPr>
            <w:r>
              <w:t xml:space="preserve">Brasil</w:t>
            </w:r>
          </w:p>
        </w:tc>
        <w:tc>
          <w:tcPr/>
          <w:p>
            <w:pPr>
              <w:pStyle w:val="Compact"/>
              <w:jc w:val="left"/>
            </w:pPr>
            <w:r>
              <w:t xml:space="preserve">2005</w:t>
            </w:r>
          </w:p>
        </w:tc>
        <w:tc>
          <w:tcPr/>
          <w:p>
            <w:pPr>
              <w:pStyle w:val="Compact"/>
              <w:jc w:val="right"/>
            </w:pPr>
            <w:r>
              <w:t xml:space="preserve">51</w:t>
            </w:r>
          </w:p>
        </w:tc>
        <w:tc>
          <w:tcPr/>
          <w:p>
            <w:pPr>
              <w:pStyle w:val="Compact"/>
              <w:jc w:val="left"/>
            </w:pPr>
            <w:r>
              <w:t xml:space="preserve">Reconstruida</w:t>
            </w:r>
          </w:p>
        </w:tc>
        <w:tc>
          <w:tcPr/>
          <w:p>
            <w:pPr>
              <w:pStyle w:val="Compact"/>
              <w:jc w:val="left"/>
            </w:pPr>
            <w:r>
              <w:t xml:space="preserve">COU CEPAL base 2000</w:t>
            </w:r>
          </w:p>
        </w:tc>
      </w:tr>
      <w:tr>
        <w:tc>
          <w:tcPr/>
          <w:p>
            <w:pPr>
              <w:pStyle w:val="Compact"/>
              <w:jc w:val="left"/>
            </w:pPr>
            <w:r>
              <w:t xml:space="preserve">Brasil</w:t>
            </w:r>
          </w:p>
        </w:tc>
        <w:tc>
          <w:tcPr/>
          <w:p>
            <w:pPr>
              <w:pStyle w:val="Compact"/>
              <w:jc w:val="left"/>
            </w:pPr>
            <w:r>
              <w:t xml:space="preserve">2006</w:t>
            </w:r>
          </w:p>
        </w:tc>
        <w:tc>
          <w:tcPr/>
          <w:p>
            <w:pPr>
              <w:pStyle w:val="Compact"/>
              <w:jc w:val="right"/>
            </w:pPr>
            <w:r>
              <w:t xml:space="preserve">51</w:t>
            </w:r>
          </w:p>
        </w:tc>
        <w:tc>
          <w:tcPr/>
          <w:p>
            <w:pPr>
              <w:pStyle w:val="Compact"/>
              <w:jc w:val="left"/>
            </w:pPr>
            <w:r>
              <w:t xml:space="preserve">Reconstruida</w:t>
            </w:r>
          </w:p>
        </w:tc>
        <w:tc>
          <w:tcPr/>
          <w:p>
            <w:pPr>
              <w:pStyle w:val="Compact"/>
              <w:jc w:val="left"/>
            </w:pPr>
            <w:r>
              <w:t xml:space="preserve">COU CEPAL base 2000</w:t>
            </w:r>
          </w:p>
        </w:tc>
      </w:tr>
      <w:tr>
        <w:tc>
          <w:tcPr/>
          <w:p>
            <w:pPr>
              <w:pStyle w:val="Compact"/>
              <w:jc w:val="left"/>
            </w:pPr>
            <w:r>
              <w:t xml:space="preserve">Brasil</w:t>
            </w:r>
          </w:p>
        </w:tc>
        <w:tc>
          <w:tcPr/>
          <w:p>
            <w:pPr>
              <w:pStyle w:val="Compact"/>
              <w:jc w:val="left"/>
            </w:pPr>
            <w:r>
              <w:t xml:space="preserve">2007</w:t>
            </w:r>
          </w:p>
        </w:tc>
        <w:tc>
          <w:tcPr/>
          <w:p>
            <w:pPr>
              <w:pStyle w:val="Compact"/>
              <w:jc w:val="right"/>
            </w:pPr>
            <w:r>
              <w:t xml:space="preserve">51</w:t>
            </w:r>
          </w:p>
        </w:tc>
        <w:tc>
          <w:tcPr/>
          <w:p>
            <w:pPr>
              <w:pStyle w:val="Compact"/>
              <w:jc w:val="left"/>
            </w:pPr>
            <w:r>
              <w:t xml:space="preserve">Reconstruida</w:t>
            </w:r>
          </w:p>
        </w:tc>
        <w:tc>
          <w:tcPr/>
          <w:p>
            <w:pPr>
              <w:pStyle w:val="Compact"/>
              <w:jc w:val="left"/>
            </w:pPr>
            <w:r>
              <w:t xml:space="preserve">COU CEPAL base 2000</w:t>
            </w:r>
          </w:p>
        </w:tc>
      </w:tr>
      <w:tr>
        <w:tc>
          <w:tcPr/>
          <w:p>
            <w:pPr>
              <w:pStyle w:val="Compact"/>
              <w:jc w:val="left"/>
            </w:pPr>
            <w:r>
              <w:t xml:space="preserve">Brasil</w:t>
            </w:r>
          </w:p>
        </w:tc>
        <w:tc>
          <w:tcPr/>
          <w:p>
            <w:pPr>
              <w:pStyle w:val="Compact"/>
              <w:jc w:val="left"/>
            </w:pPr>
            <w:r>
              <w:t xml:space="preserve">2008</w:t>
            </w:r>
          </w:p>
        </w:tc>
        <w:tc>
          <w:tcPr/>
          <w:p>
            <w:pPr>
              <w:pStyle w:val="Compact"/>
              <w:jc w:val="right"/>
            </w:pPr>
            <w:r>
              <w:t xml:space="preserve">51</w:t>
            </w:r>
          </w:p>
        </w:tc>
        <w:tc>
          <w:tcPr/>
          <w:p>
            <w:pPr>
              <w:pStyle w:val="Compact"/>
              <w:jc w:val="left"/>
            </w:pPr>
            <w:r>
              <w:t xml:space="preserve">Reconstruida</w:t>
            </w:r>
          </w:p>
        </w:tc>
        <w:tc>
          <w:tcPr/>
          <w:p>
            <w:pPr>
              <w:pStyle w:val="Compact"/>
              <w:jc w:val="left"/>
            </w:pPr>
            <w:r>
              <w:t xml:space="preserve">COU CEPAL base 2000</w:t>
            </w:r>
          </w:p>
        </w:tc>
      </w:tr>
      <w:tr>
        <w:tc>
          <w:tcPr/>
          <w:p>
            <w:pPr>
              <w:pStyle w:val="Compact"/>
              <w:jc w:val="left"/>
            </w:pPr>
            <w:r>
              <w:t xml:space="preserve">Brasil</w:t>
            </w:r>
          </w:p>
        </w:tc>
        <w:tc>
          <w:tcPr/>
          <w:p>
            <w:pPr>
              <w:pStyle w:val="Compact"/>
              <w:jc w:val="left"/>
            </w:pPr>
            <w:r>
              <w:t xml:space="preserve">2009</w:t>
            </w:r>
          </w:p>
        </w:tc>
        <w:tc>
          <w:tcPr/>
          <w:p>
            <w:pPr>
              <w:pStyle w:val="Compact"/>
              <w:jc w:val="right"/>
            </w:pPr>
            <w:r>
              <w:t xml:space="preserve">51</w:t>
            </w:r>
          </w:p>
        </w:tc>
        <w:tc>
          <w:tcPr/>
          <w:p>
            <w:pPr>
              <w:pStyle w:val="Compact"/>
              <w:jc w:val="left"/>
            </w:pPr>
            <w:r>
              <w:t xml:space="preserve">Reconstruida</w:t>
            </w:r>
          </w:p>
        </w:tc>
        <w:tc>
          <w:tcPr/>
          <w:p>
            <w:pPr>
              <w:pStyle w:val="Compact"/>
              <w:jc w:val="left"/>
            </w:pPr>
            <w:r>
              <w:t xml:space="preserve">COU CEPAL base 2000</w:t>
            </w:r>
          </w:p>
        </w:tc>
      </w:tr>
      <w:tr>
        <w:tc>
          <w:tcPr/>
          <w:p>
            <w:pPr>
              <w:pStyle w:val="Compact"/>
              <w:jc w:val="left"/>
            </w:pPr>
            <w:r>
              <w:t xml:space="preserve">Brasil</w:t>
            </w:r>
          </w:p>
        </w:tc>
        <w:tc>
          <w:tcPr/>
          <w:p>
            <w:pPr>
              <w:pStyle w:val="Compact"/>
              <w:jc w:val="left"/>
            </w:pPr>
            <w:r>
              <w:t xml:space="preserve">2010</w:t>
            </w:r>
          </w:p>
        </w:tc>
        <w:tc>
          <w:tcPr/>
          <w:p>
            <w:pPr>
              <w:pStyle w:val="Compact"/>
              <w:jc w:val="right"/>
            </w:pPr>
            <w:r>
              <w:t xml:space="preserve">68</w:t>
            </w:r>
          </w:p>
        </w:tc>
        <w:tc>
          <w:tcPr/>
          <w:p>
            <w:pPr>
              <w:pStyle w:val="Compact"/>
              <w:jc w:val="left"/>
            </w:pPr>
            <w:r>
              <w:t xml:space="preserve">Reconstruida</w:t>
            </w:r>
          </w:p>
        </w:tc>
        <w:tc>
          <w:tcPr/>
          <w:p>
            <w:pPr>
              <w:pStyle w:val="Compact"/>
              <w:jc w:val="left"/>
            </w:pPr>
            <w:r>
              <w:t xml:space="preserve">TRU IBGE niv.68</w:t>
            </w:r>
          </w:p>
        </w:tc>
      </w:tr>
      <w:tr>
        <w:tc>
          <w:tcPr/>
          <w:p>
            <w:pPr>
              <w:pStyle w:val="Compact"/>
              <w:jc w:val="left"/>
            </w:pPr>
            <w:r>
              <w:t xml:space="preserve">Brasil</w:t>
            </w:r>
          </w:p>
        </w:tc>
        <w:tc>
          <w:tcPr/>
          <w:p>
            <w:pPr>
              <w:pStyle w:val="Compact"/>
              <w:jc w:val="left"/>
            </w:pPr>
            <w:r>
              <w:t xml:space="preserve">2011</w:t>
            </w:r>
          </w:p>
        </w:tc>
        <w:tc>
          <w:tcPr/>
          <w:p>
            <w:pPr>
              <w:pStyle w:val="Compact"/>
              <w:jc w:val="right"/>
            </w:pPr>
            <w:r>
              <w:t xml:space="preserve">68</w:t>
            </w:r>
          </w:p>
        </w:tc>
        <w:tc>
          <w:tcPr/>
          <w:p>
            <w:pPr>
              <w:pStyle w:val="Compact"/>
              <w:jc w:val="left"/>
            </w:pPr>
            <w:r>
              <w:t xml:space="preserve">Reconstruida</w:t>
            </w:r>
          </w:p>
        </w:tc>
        <w:tc>
          <w:tcPr/>
          <w:p>
            <w:pPr>
              <w:pStyle w:val="Compact"/>
              <w:jc w:val="left"/>
            </w:pPr>
            <w:r>
              <w:t xml:space="preserve">TRU IBGE niv.68</w:t>
            </w:r>
          </w:p>
        </w:tc>
      </w:tr>
      <w:tr>
        <w:tc>
          <w:tcPr/>
          <w:p>
            <w:pPr>
              <w:pStyle w:val="Compact"/>
              <w:jc w:val="left"/>
            </w:pPr>
            <w:r>
              <w:t xml:space="preserve">Brasil</w:t>
            </w:r>
          </w:p>
        </w:tc>
        <w:tc>
          <w:tcPr/>
          <w:p>
            <w:pPr>
              <w:pStyle w:val="Compact"/>
              <w:jc w:val="left"/>
            </w:pPr>
            <w:r>
              <w:t xml:space="preserve">2012</w:t>
            </w:r>
          </w:p>
        </w:tc>
        <w:tc>
          <w:tcPr/>
          <w:p>
            <w:pPr>
              <w:pStyle w:val="Compact"/>
              <w:jc w:val="right"/>
            </w:pPr>
            <w:r>
              <w:t xml:space="preserve">68</w:t>
            </w:r>
          </w:p>
        </w:tc>
        <w:tc>
          <w:tcPr/>
          <w:p>
            <w:pPr>
              <w:pStyle w:val="Compact"/>
              <w:jc w:val="left"/>
            </w:pPr>
            <w:r>
              <w:t xml:space="preserve">Reconstruida</w:t>
            </w:r>
          </w:p>
        </w:tc>
        <w:tc>
          <w:tcPr/>
          <w:p>
            <w:pPr>
              <w:pStyle w:val="Compact"/>
              <w:jc w:val="left"/>
            </w:pPr>
            <w:r>
              <w:t xml:space="preserve">TRU IBGE niv.68</w:t>
            </w:r>
          </w:p>
        </w:tc>
      </w:tr>
      <w:tr>
        <w:tc>
          <w:tcPr/>
          <w:p>
            <w:pPr>
              <w:pStyle w:val="Compact"/>
              <w:jc w:val="left"/>
            </w:pPr>
            <w:r>
              <w:t xml:space="preserve">Brasil</w:t>
            </w:r>
          </w:p>
        </w:tc>
        <w:tc>
          <w:tcPr/>
          <w:p>
            <w:pPr>
              <w:pStyle w:val="Compact"/>
              <w:jc w:val="left"/>
            </w:pPr>
            <w:r>
              <w:t xml:space="preserve">2013</w:t>
            </w:r>
          </w:p>
        </w:tc>
        <w:tc>
          <w:tcPr/>
          <w:p>
            <w:pPr>
              <w:pStyle w:val="Compact"/>
              <w:jc w:val="right"/>
            </w:pPr>
            <w:r>
              <w:t xml:space="preserve">68</w:t>
            </w:r>
          </w:p>
        </w:tc>
        <w:tc>
          <w:tcPr/>
          <w:p>
            <w:pPr>
              <w:pStyle w:val="Compact"/>
              <w:jc w:val="left"/>
            </w:pPr>
            <w:r>
              <w:t xml:space="preserve">Reconstruida</w:t>
            </w:r>
          </w:p>
        </w:tc>
        <w:tc>
          <w:tcPr/>
          <w:p>
            <w:pPr>
              <w:pStyle w:val="Compact"/>
              <w:jc w:val="left"/>
            </w:pPr>
            <w:r>
              <w:t xml:space="preserve">TRU IBGE niv.68</w:t>
            </w:r>
          </w:p>
        </w:tc>
      </w:tr>
      <w:tr>
        <w:tc>
          <w:tcPr/>
          <w:p>
            <w:pPr>
              <w:pStyle w:val="Compact"/>
              <w:jc w:val="left"/>
            </w:pPr>
            <w:r>
              <w:t xml:space="preserve">Brasil</w:t>
            </w:r>
          </w:p>
        </w:tc>
        <w:tc>
          <w:tcPr/>
          <w:p>
            <w:pPr>
              <w:pStyle w:val="Compact"/>
              <w:jc w:val="left"/>
            </w:pPr>
            <w:r>
              <w:t xml:space="preserve">2014</w:t>
            </w:r>
          </w:p>
        </w:tc>
        <w:tc>
          <w:tcPr/>
          <w:p>
            <w:pPr>
              <w:pStyle w:val="Compact"/>
              <w:jc w:val="right"/>
            </w:pPr>
            <w:r>
              <w:t xml:space="preserve">68</w:t>
            </w:r>
          </w:p>
        </w:tc>
        <w:tc>
          <w:tcPr/>
          <w:p>
            <w:pPr>
              <w:pStyle w:val="Compact"/>
              <w:jc w:val="left"/>
            </w:pPr>
            <w:r>
              <w:t xml:space="preserve">Reconstruida</w:t>
            </w:r>
          </w:p>
        </w:tc>
        <w:tc>
          <w:tcPr/>
          <w:p>
            <w:pPr>
              <w:pStyle w:val="Compact"/>
              <w:jc w:val="left"/>
            </w:pPr>
            <w:r>
              <w:t xml:space="preserve">TRU IBGE niv.68</w:t>
            </w:r>
          </w:p>
        </w:tc>
      </w:tr>
      <w:tr>
        <w:tc>
          <w:tcPr/>
          <w:p>
            <w:pPr>
              <w:pStyle w:val="Compact"/>
              <w:jc w:val="left"/>
            </w:pPr>
            <w:r>
              <w:t xml:space="preserve">Brasil</w:t>
            </w:r>
          </w:p>
        </w:tc>
        <w:tc>
          <w:tcPr/>
          <w:p>
            <w:pPr>
              <w:pStyle w:val="Compact"/>
              <w:jc w:val="left"/>
            </w:pPr>
            <w:r>
              <w:t xml:space="preserve">2015</w:t>
            </w:r>
          </w:p>
        </w:tc>
        <w:tc>
          <w:tcPr/>
          <w:p>
            <w:pPr>
              <w:pStyle w:val="Compact"/>
              <w:jc w:val="right"/>
            </w:pPr>
            <w:r>
              <w:t xml:space="preserve">68</w:t>
            </w:r>
          </w:p>
        </w:tc>
        <w:tc>
          <w:tcPr/>
          <w:p>
            <w:pPr>
              <w:pStyle w:val="Compact"/>
              <w:jc w:val="left"/>
            </w:pPr>
            <w:r>
              <w:t xml:space="preserve">Reconstruida</w:t>
            </w:r>
          </w:p>
        </w:tc>
        <w:tc>
          <w:tcPr/>
          <w:p>
            <w:pPr>
              <w:pStyle w:val="Compact"/>
              <w:jc w:val="left"/>
            </w:pPr>
            <w:r>
              <w:t xml:space="preserve">TRU IBGE niv.68</w:t>
            </w:r>
          </w:p>
        </w:tc>
      </w:tr>
      <w:tr>
        <w:tc>
          <w:tcPr/>
          <w:p>
            <w:pPr>
              <w:pStyle w:val="Compact"/>
              <w:jc w:val="left"/>
            </w:pPr>
            <w:r>
              <w:t xml:space="preserve">Brasil</w:t>
            </w:r>
          </w:p>
        </w:tc>
        <w:tc>
          <w:tcPr/>
          <w:p>
            <w:pPr>
              <w:pStyle w:val="Compact"/>
              <w:jc w:val="left"/>
            </w:pPr>
            <w:r>
              <w:t xml:space="preserve">2016</w:t>
            </w:r>
          </w:p>
        </w:tc>
        <w:tc>
          <w:tcPr/>
          <w:p>
            <w:pPr>
              <w:pStyle w:val="Compact"/>
              <w:jc w:val="right"/>
            </w:pPr>
            <w:r>
              <w:t xml:space="preserve">68</w:t>
            </w:r>
          </w:p>
        </w:tc>
        <w:tc>
          <w:tcPr/>
          <w:p>
            <w:pPr>
              <w:pStyle w:val="Compact"/>
              <w:jc w:val="left"/>
            </w:pPr>
            <w:r>
              <w:t xml:space="preserve">Reconstruida</w:t>
            </w:r>
          </w:p>
        </w:tc>
        <w:tc>
          <w:tcPr/>
          <w:p>
            <w:pPr>
              <w:pStyle w:val="Compact"/>
              <w:jc w:val="left"/>
            </w:pPr>
            <w:r>
              <w:t xml:space="preserve">TRU IBGE niv.68</w:t>
            </w:r>
          </w:p>
        </w:tc>
      </w:tr>
      <w:tr>
        <w:tc>
          <w:tcPr/>
          <w:p>
            <w:pPr>
              <w:pStyle w:val="Compact"/>
              <w:jc w:val="left"/>
            </w:pPr>
            <w:r>
              <w:t xml:space="preserve">Brasil</w:t>
            </w:r>
          </w:p>
        </w:tc>
        <w:tc>
          <w:tcPr/>
          <w:p>
            <w:pPr>
              <w:pStyle w:val="Compact"/>
              <w:jc w:val="left"/>
            </w:pPr>
            <w:r>
              <w:t xml:space="preserve">2017</w:t>
            </w:r>
          </w:p>
        </w:tc>
        <w:tc>
          <w:tcPr/>
          <w:p>
            <w:pPr>
              <w:pStyle w:val="Compact"/>
              <w:jc w:val="right"/>
            </w:pPr>
            <w:r>
              <w:t xml:space="preserve">68</w:t>
            </w:r>
          </w:p>
        </w:tc>
        <w:tc>
          <w:tcPr/>
          <w:p>
            <w:pPr>
              <w:pStyle w:val="Compact"/>
              <w:jc w:val="left"/>
            </w:pPr>
            <w:r>
              <w:t xml:space="preserve">Reconstruida</w:t>
            </w:r>
          </w:p>
        </w:tc>
        <w:tc>
          <w:tcPr/>
          <w:p>
            <w:pPr>
              <w:pStyle w:val="Compact"/>
              <w:jc w:val="left"/>
            </w:pPr>
            <w:r>
              <w:t xml:space="preserve">TRU IBGE niv.68</w:t>
            </w:r>
          </w:p>
        </w:tc>
      </w:tr>
      <w:tr>
        <w:tc>
          <w:tcPr/>
          <w:p>
            <w:pPr>
              <w:pStyle w:val="Compact"/>
              <w:jc w:val="left"/>
            </w:pPr>
            <w:r>
              <w:t xml:space="preserve">Brasil</w:t>
            </w:r>
          </w:p>
        </w:tc>
        <w:tc>
          <w:tcPr/>
          <w:p>
            <w:pPr>
              <w:pStyle w:val="Compact"/>
              <w:jc w:val="left"/>
            </w:pPr>
            <w:r>
              <w:t xml:space="preserve">2018</w:t>
            </w:r>
          </w:p>
        </w:tc>
        <w:tc>
          <w:tcPr/>
          <w:p>
            <w:pPr>
              <w:pStyle w:val="Compact"/>
              <w:jc w:val="right"/>
            </w:pPr>
            <w:r>
              <w:t xml:space="preserve">68</w:t>
            </w:r>
          </w:p>
        </w:tc>
        <w:tc>
          <w:tcPr/>
          <w:p>
            <w:pPr>
              <w:pStyle w:val="Compact"/>
              <w:jc w:val="left"/>
            </w:pPr>
            <w:r>
              <w:t xml:space="preserve">Reconstruida</w:t>
            </w:r>
          </w:p>
        </w:tc>
        <w:tc>
          <w:tcPr/>
          <w:p>
            <w:pPr>
              <w:pStyle w:val="Compact"/>
              <w:jc w:val="left"/>
            </w:pPr>
            <w:r>
              <w:t xml:space="preserve">TRU IBGE niv.68</w:t>
            </w:r>
          </w:p>
        </w:tc>
      </w:tr>
      <w:tr>
        <w:tc>
          <w:tcPr/>
          <w:p>
            <w:pPr>
              <w:pStyle w:val="Compact"/>
              <w:jc w:val="left"/>
            </w:pPr>
            <w:r>
              <w:t xml:space="preserve">Brasil</w:t>
            </w:r>
          </w:p>
        </w:tc>
        <w:tc>
          <w:tcPr/>
          <w:p>
            <w:pPr>
              <w:pStyle w:val="Compact"/>
              <w:jc w:val="left"/>
            </w:pPr>
            <w:r>
              <w:t xml:space="preserve">2019</w:t>
            </w:r>
          </w:p>
        </w:tc>
        <w:tc>
          <w:tcPr/>
          <w:p>
            <w:pPr>
              <w:pStyle w:val="Compact"/>
              <w:jc w:val="right"/>
            </w:pPr>
            <w:r>
              <w:t xml:space="preserve">68</w:t>
            </w:r>
          </w:p>
        </w:tc>
        <w:tc>
          <w:tcPr/>
          <w:p>
            <w:pPr>
              <w:pStyle w:val="Compact"/>
              <w:jc w:val="left"/>
            </w:pPr>
            <w:r>
              <w:t xml:space="preserve">Reconstruida</w:t>
            </w:r>
          </w:p>
        </w:tc>
        <w:tc>
          <w:tcPr/>
          <w:p>
            <w:pPr>
              <w:pStyle w:val="Compact"/>
              <w:jc w:val="left"/>
            </w:pPr>
            <w:r>
              <w:t xml:space="preserve">TRU IBGE niv.68</w:t>
            </w:r>
          </w:p>
        </w:tc>
      </w:tr>
      <w:tr>
        <w:tc>
          <w:tcPr/>
          <w:p>
            <w:pPr>
              <w:pStyle w:val="Compact"/>
              <w:jc w:val="left"/>
            </w:pPr>
            <w:r>
              <w:t xml:space="preserve">Brasil</w:t>
            </w:r>
          </w:p>
        </w:tc>
        <w:tc>
          <w:tcPr/>
          <w:p>
            <w:pPr>
              <w:pStyle w:val="Compact"/>
              <w:jc w:val="left"/>
            </w:pPr>
            <w:r>
              <w:t xml:space="preserve">2020</w:t>
            </w:r>
          </w:p>
        </w:tc>
        <w:tc>
          <w:tcPr/>
          <w:p>
            <w:pPr>
              <w:pStyle w:val="Compact"/>
              <w:jc w:val="right"/>
            </w:pPr>
            <w:r>
              <w:t xml:space="preserve">68</w:t>
            </w:r>
          </w:p>
        </w:tc>
        <w:tc>
          <w:tcPr/>
          <w:p>
            <w:pPr>
              <w:pStyle w:val="Compact"/>
              <w:jc w:val="left"/>
            </w:pPr>
            <w:r>
              <w:t xml:space="preserve">Reconstruida</w:t>
            </w:r>
          </w:p>
        </w:tc>
        <w:tc>
          <w:tcPr/>
          <w:p>
            <w:pPr>
              <w:pStyle w:val="Compact"/>
              <w:jc w:val="left"/>
            </w:pPr>
            <w:r>
              <w:t xml:space="preserve">TRU IBGE niv.68</w:t>
            </w:r>
          </w:p>
        </w:tc>
      </w:tr>
      <w:tr>
        <w:tc>
          <w:tcPr/>
          <w:p>
            <w:pPr>
              <w:pStyle w:val="Compact"/>
              <w:jc w:val="left"/>
            </w:pPr>
            <w:r>
              <w:t xml:space="preserve">Brasil</w:t>
            </w:r>
          </w:p>
        </w:tc>
        <w:tc>
          <w:tcPr/>
          <w:p>
            <w:pPr>
              <w:pStyle w:val="Compact"/>
              <w:jc w:val="left"/>
            </w:pPr>
            <w:r>
              <w:t xml:space="preserve">2021</w:t>
            </w:r>
          </w:p>
        </w:tc>
        <w:tc>
          <w:tcPr/>
          <w:p>
            <w:pPr>
              <w:pStyle w:val="Compact"/>
              <w:jc w:val="right"/>
            </w:pPr>
            <w:r>
              <w:t xml:space="preserve">68</w:t>
            </w:r>
          </w:p>
        </w:tc>
        <w:tc>
          <w:tcPr/>
          <w:p>
            <w:pPr>
              <w:pStyle w:val="Compact"/>
              <w:jc w:val="left"/>
            </w:pPr>
            <w:r>
              <w:t xml:space="preserve">Reconstruida</w:t>
            </w:r>
          </w:p>
        </w:tc>
        <w:tc>
          <w:tcPr/>
          <w:p>
            <w:pPr>
              <w:pStyle w:val="Compact"/>
              <w:jc w:val="left"/>
            </w:pPr>
            <w:r>
              <w:t xml:space="preserve">TRU IBGE niv.68</w:t>
            </w:r>
          </w:p>
        </w:tc>
      </w:tr>
      <w:tr>
        <w:tc>
          <w:tcPr/>
          <w:p>
            <w:pPr>
              <w:pStyle w:val="Compact"/>
              <w:jc w:val="left"/>
            </w:pPr>
            <w:r>
              <w:t xml:space="preserve">México</w:t>
            </w:r>
          </w:p>
        </w:tc>
        <w:tc>
          <w:tcPr/>
          <w:p>
            <w:pPr>
              <w:pStyle w:val="Compact"/>
              <w:jc w:val="left"/>
            </w:pPr>
            <w:r>
              <w:t xml:space="preserve">2003</w:t>
            </w:r>
          </w:p>
        </w:tc>
        <w:tc>
          <w:tcPr/>
          <w:p>
            <w:pPr>
              <w:pStyle w:val="Compact"/>
              <w:jc w:val="right"/>
            </w:pPr>
            <w:r>
              <w:t xml:space="preserve">20</w:t>
            </w:r>
          </w:p>
        </w:tc>
        <w:tc>
          <w:tcPr/>
          <w:p>
            <w:pPr>
              <w:pStyle w:val="Compact"/>
              <w:jc w:val="left"/>
            </w:pPr>
            <w:r>
              <w:t xml:space="preserve">Directa</w:t>
            </w:r>
          </w:p>
        </w:tc>
        <w:tc>
          <w:tcPr/>
          <w:p>
            <w:pPr>
              <w:pStyle w:val="Compact"/>
              <w:jc w:val="left"/>
            </w:pPr>
            <w:r>
              <w:t xml:space="preserve">MIP INEGI/CEPAL</w:t>
            </w:r>
          </w:p>
        </w:tc>
      </w:tr>
      <w:tr>
        <w:tc>
          <w:tcPr/>
          <w:p>
            <w:pPr>
              <w:pStyle w:val="Compact"/>
              <w:jc w:val="left"/>
            </w:pPr>
            <w:r>
              <w:t xml:space="preserve">México</w:t>
            </w:r>
          </w:p>
        </w:tc>
        <w:tc>
          <w:tcPr/>
          <w:p>
            <w:pPr>
              <w:pStyle w:val="Compact"/>
              <w:jc w:val="left"/>
            </w:pPr>
            <w:r>
              <w:t xml:space="preserve">2008</w:t>
            </w:r>
          </w:p>
        </w:tc>
        <w:tc>
          <w:tcPr/>
          <w:p>
            <w:pPr>
              <w:pStyle w:val="Compact"/>
              <w:jc w:val="right"/>
            </w:pPr>
            <w:r>
              <w:t xml:space="preserve">262</w:t>
            </w:r>
          </w:p>
        </w:tc>
        <w:tc>
          <w:tcPr/>
          <w:p>
            <w:pPr>
              <w:pStyle w:val="Compact"/>
              <w:jc w:val="left"/>
            </w:pPr>
            <w:r>
              <w:t xml:space="preserve">Directa (+COU ref.)</w:t>
            </w:r>
          </w:p>
        </w:tc>
        <w:tc>
          <w:tcPr/>
          <w:p>
            <w:pPr>
              <w:pStyle w:val="Compact"/>
              <w:jc w:val="left"/>
            </w:pPr>
            <w:r>
              <w:t xml:space="preserve">MIP INEGI/CEPAL</w:t>
            </w:r>
          </w:p>
        </w:tc>
      </w:tr>
      <w:tr>
        <w:tc>
          <w:tcPr/>
          <w:p>
            <w:pPr>
              <w:pStyle w:val="Compact"/>
              <w:jc w:val="left"/>
            </w:pPr>
            <w:r>
              <w:t xml:space="preserve">México</w:t>
            </w:r>
          </w:p>
        </w:tc>
        <w:tc>
          <w:tcPr/>
          <w:p>
            <w:pPr>
              <w:pStyle w:val="Compact"/>
              <w:jc w:val="left"/>
            </w:pPr>
            <w:r>
              <w:t xml:space="preserve">2013</w:t>
            </w:r>
          </w:p>
        </w:tc>
        <w:tc>
          <w:tcPr/>
          <w:p>
            <w:pPr>
              <w:pStyle w:val="Compact"/>
              <w:jc w:val="right"/>
            </w:pPr>
            <w:r>
              <w:t xml:space="preserve">262</w:t>
            </w:r>
          </w:p>
        </w:tc>
        <w:tc>
          <w:tcPr/>
          <w:p>
            <w:pPr>
              <w:pStyle w:val="Compact"/>
              <w:jc w:val="left"/>
            </w:pPr>
            <w:r>
              <w:t xml:space="preserve">Directa (+COU ref.)</w:t>
            </w:r>
          </w:p>
        </w:tc>
        <w:tc>
          <w:tcPr/>
          <w:p>
            <w:pPr>
              <w:pStyle w:val="Compact"/>
              <w:jc w:val="left"/>
            </w:pPr>
            <w:r>
              <w:t xml:space="preserve">MIP INEGI/CEPAL</w:t>
            </w:r>
          </w:p>
        </w:tc>
      </w:tr>
      <w:tr>
        <w:tc>
          <w:tcPr/>
          <w:p>
            <w:pPr>
              <w:pStyle w:val="Compact"/>
              <w:jc w:val="left"/>
            </w:pPr>
            <w:r>
              <w:t xml:space="preserve">México</w:t>
            </w:r>
          </w:p>
        </w:tc>
        <w:tc>
          <w:tcPr/>
          <w:p>
            <w:pPr>
              <w:pStyle w:val="Compact"/>
              <w:jc w:val="left"/>
            </w:pPr>
            <w:r>
              <w:t xml:space="preserve">2018</w:t>
            </w:r>
          </w:p>
        </w:tc>
        <w:tc>
          <w:tcPr/>
          <w:p>
            <w:pPr>
              <w:pStyle w:val="Compact"/>
              <w:jc w:val="right"/>
            </w:pPr>
            <w:r>
              <w:t xml:space="preserve">263</w:t>
            </w:r>
          </w:p>
        </w:tc>
        <w:tc>
          <w:tcPr/>
          <w:p>
            <w:pPr>
              <w:pStyle w:val="Compact"/>
              <w:jc w:val="left"/>
            </w:pPr>
            <w:r>
              <w:t xml:space="preserve">Directa</w:t>
            </w:r>
          </w:p>
        </w:tc>
        <w:tc>
          <w:tcPr/>
          <w:p>
            <w:pPr>
              <w:pStyle w:val="Compact"/>
              <w:jc w:val="left"/>
            </w:pPr>
            <w:r>
              <w:t xml:space="preserve">MIP INEGI/CEPAL</w:t>
            </w:r>
          </w:p>
        </w:tc>
      </w:tr>
      <w:tr>
        <w:tc>
          <w:tcPr/>
          <w:p>
            <w:pPr>
              <w:pStyle w:val="Compact"/>
              <w:jc w:val="left"/>
            </w:pPr>
            <w:r>
              <w:t xml:space="preserve">Uruguay</w:t>
            </w:r>
          </w:p>
        </w:tc>
        <w:tc>
          <w:tcPr/>
          <w:p>
            <w:pPr>
              <w:pStyle w:val="Compact"/>
              <w:jc w:val="left"/>
            </w:pPr>
            <w:r>
              <w:t xml:space="preserve">2012</w:t>
            </w:r>
          </w:p>
        </w:tc>
        <w:tc>
          <w:tcPr/>
          <w:p>
            <w:pPr>
              <w:pStyle w:val="Compact"/>
              <w:jc w:val="right"/>
            </w:pPr>
            <w:r>
              <w:t xml:space="preserve">107</w:t>
            </w:r>
          </w:p>
        </w:tc>
        <w:tc>
          <w:tcPr/>
          <w:p>
            <w:pPr>
              <w:pStyle w:val="Compact"/>
              <w:jc w:val="left"/>
            </w:pPr>
            <w:r>
              <w:t xml:space="preserve">Reconstruida</w:t>
            </w:r>
          </w:p>
        </w:tc>
        <w:tc>
          <w:tcPr/>
          <w:p>
            <w:pPr>
              <w:pStyle w:val="Compact"/>
              <w:jc w:val="left"/>
            </w:pPr>
            <w:r>
              <w:t xml:space="preserve">COU detallado BCU</w:t>
            </w:r>
          </w:p>
        </w:tc>
      </w:tr>
      <w:tr>
        <w:tc>
          <w:tcPr/>
          <w:p>
            <w:pPr>
              <w:pStyle w:val="Compact"/>
              <w:jc w:val="left"/>
            </w:pPr>
            <w:r>
              <w:t xml:space="preserve">Uruguay</w:t>
            </w:r>
          </w:p>
        </w:tc>
        <w:tc>
          <w:tcPr/>
          <w:p>
            <w:pPr>
              <w:pStyle w:val="Compact"/>
              <w:jc w:val="left"/>
            </w:pPr>
            <w:r>
              <w:t xml:space="preserve">2016</w:t>
            </w:r>
          </w:p>
        </w:tc>
        <w:tc>
          <w:tcPr/>
          <w:p>
            <w:pPr>
              <w:pStyle w:val="Compact"/>
              <w:jc w:val="right"/>
            </w:pPr>
            <w:r>
              <w:t xml:space="preserve">128</w:t>
            </w:r>
          </w:p>
        </w:tc>
        <w:tc>
          <w:tcPr/>
          <w:p>
            <w:pPr>
              <w:pStyle w:val="Compact"/>
              <w:jc w:val="left"/>
            </w:pPr>
            <w:r>
              <w:t xml:space="preserve">Directa (+COU ref.)</w:t>
            </w:r>
          </w:p>
        </w:tc>
        <w:tc>
          <w:tcPr/>
          <w:p>
            <w:pPr>
              <w:pStyle w:val="Compact"/>
              <w:jc w:val="left"/>
            </w:pPr>
            <w:r>
              <w:t xml:space="preserve">MIP directa BCU</w:t>
            </w:r>
          </w:p>
        </w:tc>
      </w:tr>
      <w:tr>
        <w:tc>
          <w:tcPr/>
          <w:p>
            <w:pPr>
              <w:pStyle w:val="Compact"/>
              <w:jc w:val="left"/>
            </w:pPr>
            <w:r>
              <w:t xml:space="preserve">Uruguay</w:t>
            </w:r>
          </w:p>
        </w:tc>
        <w:tc>
          <w:tcPr/>
          <w:p>
            <w:pPr>
              <w:pStyle w:val="Compact"/>
              <w:jc w:val="left"/>
            </w:pPr>
            <w:r>
              <w:t xml:space="preserve">2017</w:t>
            </w:r>
          </w:p>
        </w:tc>
        <w:tc>
          <w:tcPr/>
          <w:p>
            <w:pPr>
              <w:pStyle w:val="Compact"/>
              <w:jc w:val="right"/>
            </w:pPr>
            <w:r>
              <w:t xml:space="preserve">95</w:t>
            </w:r>
          </w:p>
        </w:tc>
        <w:tc>
          <w:tcPr/>
          <w:p>
            <w:pPr>
              <w:pStyle w:val="Compact"/>
              <w:jc w:val="left"/>
            </w:pPr>
            <w:r>
              <w:t xml:space="preserve">Reconstruida</w:t>
            </w:r>
          </w:p>
        </w:tc>
        <w:tc>
          <w:tcPr/>
          <w:p>
            <w:pPr>
              <w:pStyle w:val="Compact"/>
              <w:jc w:val="left"/>
            </w:pPr>
            <w:r>
              <w:t xml:space="preserve">COU CEPAL/BCU</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53"/>
    <w:bookmarkEnd w:id="54"/>
    <w:bookmarkStart w:id="58" w:name="sec:ambiental"/>
    <w:p>
      <w:pPr>
        <w:pStyle w:val="Heading1"/>
      </w:pPr>
      <w:r>
        <w:t xml:space="preserve">Marco de Extensión Ambiental (referencia)</w:t>
      </w:r>
    </w:p>
    <w:p>
      <w:pPr>
        <w:pStyle w:val="FirstParagraph"/>
      </w:pPr>
      <w:r>
        <w:t xml:space="preserve">La serie está preparada para una extensión ambiental siguiendo el marco de la</w:t>
      </w:r>
      <w:r>
        <w:t xml:space="preserve"> </w:t>
      </w:r>
      <w:r>
        <w:t xml:space="preserve">CEPAL. Esta sección documenta ese marco como referencia;</w:t>
      </w:r>
      <w:r>
        <w:t xml:space="preserve"> </w:t>
      </w:r>
      <w:r>
        <w:rPr>
          <w:b/>
          <w:bCs/>
        </w:rPr>
        <w:t xml:space="preserve">no</w:t>
      </w:r>
      <w:r>
        <w:t xml:space="preserve"> </w:t>
      </w:r>
      <w:r>
        <w:t xml:space="preserve">corresponde a</w:t>
      </w:r>
      <w:r>
        <w:t xml:space="preserve"> </w:t>
      </w:r>
      <w:r>
        <w:t xml:space="preserve">resultados ya calculados.</w:t>
      </w:r>
    </w:p>
    <w:bookmarkStart w:id="55" w:name="presiones-e-intensidades."/>
    <w:p>
      <w:pPr>
        <w:pStyle w:val="Heading4"/>
      </w:pPr>
      <w:r>
        <w:t xml:space="preserve">Presiones e intensidades.</w:t>
      </w:r>
    </w:p>
    <w:p>
      <w:pPr>
        <w:pStyle w:val="FirstParagraph"/>
      </w:pPr>
      <w:r>
        <w:t xml:space="preserve">Dada una matriz de presiones ambientales</w:t>
      </w:r>
      <w:r>
        <w:t xml:space="preserve"> </w:t>
      </w:r>
      <m:oMath>
        <m:sSub>
          <m:e>
            <m:r>
              <m:t>D</m:t>
            </m:r>
          </m:e>
          <m:sub>
            <m:r>
              <m:t>1</m:t>
            </m:r>
          </m:sub>
        </m:sSub>
        <m:r>
          <m:rPr>
            <m:sty m:val="p"/>
          </m:rPr>
          <m:t>∈</m:t>
        </m:r>
        <m:sSup>
          <m:e>
            <m:r>
              <m:rPr>
                <m:scr m:val="double-struck"/>
                <m:sty m:val="p"/>
              </m:rPr>
              <m:t>R</m:t>
            </m:r>
          </m:e>
          <m:sup>
            <m:r>
              <m:t>k</m:t>
            </m:r>
            <m:r>
              <m:rPr>
                <m:sty m:val="p"/>
              </m:rPr>
              <m:t>×</m:t>
            </m:r>
            <m:r>
              <m:t>n</m:t>
            </m:r>
          </m:sup>
        </m:sSup>
      </m:oMath>
      <w:r>
        <w:t xml:space="preserve"> </w:t>
      </w:r>
      <w:r>
        <w:t xml:space="preserve">(con</w:t>
      </w:r>
      <w:r>
        <w:t xml:space="preserve"> </w:t>
      </w:r>
      <m:oMath>
        <m:r>
          <m:t>k</m:t>
        </m:r>
      </m:oMath>
      <w:r>
        <w:t xml:space="preserve"> </w:t>
      </w:r>
      <w:r>
        <w:t xml:space="preserve">indicadores, por ejemplo emisiones de CO</w:t>
      </w:r>
      <w:r>
        <w:rPr>
          <w:vertAlign w:val="subscript"/>
        </w:rPr>
        <w:t xml:space="preserve">2</w:t>
      </w:r>
      <w:r>
        <w:t xml:space="preserve">, CH</w:t>
      </w:r>
      <w:r>
        <w:rPr>
          <w:vertAlign w:val="subscript"/>
        </w:rPr>
        <w:t xml:space="preserve">4</w:t>
      </w:r>
      <w:r>
        <w:t xml:space="preserve"> </w:t>
      </w:r>
      <w:r>
        <w:t xml:space="preserve">y</w:t>
      </w:r>
      <w:r>
        <w:t xml:space="preserve"> </w:t>
      </w:r>
      <w:r>
        <w:t xml:space="preserve">N</w:t>
      </w:r>
      <w:r>
        <w:rPr>
          <w:vertAlign w:val="subscript"/>
        </w:rPr>
        <w:t xml:space="preserve">2</w:t>
      </w:r>
      <w:r>
        <w:t xml:space="preserve">O en tCO</w:t>
      </w:r>
      <w:r>
        <w:rPr>
          <w:vertAlign w:val="subscript"/>
        </w:rPr>
        <w:t xml:space="preserve">2</w:t>
      </w:r>
      <w:r>
        <w:t xml:space="preserve">eq), los coeficientes de intensidad</w:t>
      </w:r>
      <w:r>
        <w:t xml:space="preserve"> </w:t>
      </w:r>
      <w:r>
        <w:t xml:space="preserve">directa son</w:t>
      </w:r>
      <w:r>
        <w:t xml:space="preserve"> </w:t>
      </w:r>
      <m:oMath>
        <m:r>
          <m:t>D</m:t>
        </m:r>
        <m:r>
          <m:rPr>
            <m:sty m:val="p"/>
          </m:rPr>
          <m:t>=</m:t>
        </m:r>
        <m:sSub>
          <m:e>
            <m:r>
              <m:t>D</m:t>
            </m:r>
          </m:e>
          <m:sub>
            <m:r>
              <m:t>1</m:t>
            </m:r>
          </m:sub>
        </m:sSub>
        <m:sSup>
          <m:e>
            <m:acc>
              <m:accPr>
                <m:chr m:val="̂"/>
              </m:accPr>
              <m:e>
                <m:r>
                  <m:t>X</m:t>
                </m:r>
              </m:e>
            </m:acc>
          </m:e>
          <m:sup>
            <m:r>
              <m:rPr>
                <m:sty m:val="p"/>
              </m:rPr>
              <m:t>−</m:t>
            </m:r>
            <m:r>
              <m:t>1</m:t>
            </m:r>
          </m:sup>
        </m:sSup>
      </m:oMath>
      <w:r>
        <w:t xml:space="preserve"> </w:t>
      </w:r>
      <w:r>
        <w:t xml:space="preserve">y los multiplicadores ambientales totales</w:t>
      </w:r>
      <w:r>
        <w:t xml:space="preserve"> </w:t>
      </w:r>
      <m:oMath>
        <m:sSub>
          <m:e>
            <m:r>
              <m:t>D</m:t>
            </m:r>
          </m:e>
          <m:sub>
            <m:r>
              <m:t>a</m:t>
            </m:r>
          </m:sub>
        </m:sSub>
        <m:r>
          <m:rPr>
            <m:sty m:val="p"/>
          </m:rPr>
          <m:t>=</m:t>
        </m:r>
        <m:r>
          <m:t>D</m:t>
        </m:r>
        <m:r>
          <m:t> </m:t>
        </m:r>
        <m:r>
          <m:t>L</m:t>
        </m:r>
      </m:oMath>
      <w:r>
        <w:t xml:space="preserve">.</w:t>
      </w:r>
    </w:p>
    <w:bookmarkEnd w:id="55"/>
    <w:bookmarkStart w:id="56" w:name="huella-de-carbono."/>
    <w:p>
      <w:pPr>
        <w:pStyle w:val="Heading4"/>
      </w:pPr>
      <w:r>
        <w:t xml:space="preserve">Huella de carbono.</w:t>
      </w:r>
    </w:p>
    <w:p>
      <w:pPr>
        <w:pStyle w:val="FirstParagraph"/>
      </w:pPr>
      <w:r>
        <w:t xml:space="preserve">Con</w:t>
      </w:r>
      <w:r>
        <w:t xml:space="preserve"> </w:t>
      </w:r>
      <m:oMath>
        <m:sSub>
          <m:e>
            <m:r>
              <m:t>α</m:t>
            </m:r>
          </m:e>
          <m:sub>
            <m:r>
              <m:t>1</m:t>
            </m:r>
          </m:sub>
        </m:sSub>
        <m:r>
          <m:rPr>
            <m:sty m:val="p"/>
          </m:rPr>
          <m:t>=</m:t>
        </m:r>
        <m:r>
          <m:rPr>
            <m:sty m:val="p"/>
          </m:rPr>
          <m:t>diag</m:t>
        </m:r>
        <m:r>
          <m:rPr>
            <m:sty m:val="p"/>
          </m:rPr>
          <m:t>(</m:t>
        </m:r>
        <m:sSub>
          <m:e>
            <m:r>
              <m:t>γ</m:t>
            </m:r>
          </m:e>
          <m:sub>
            <m:r>
              <m:t>1</m:t>
            </m:r>
          </m:sub>
        </m:sSub>
        <m:r>
          <m:rPr>
            <m:sty m:val="p"/>
          </m:rPr>
          <m:t>/</m:t>
        </m:r>
        <m:r>
          <m:t>x</m:t>
        </m:r>
        <m:r>
          <m:rPr>
            <m:sty m:val="p"/>
          </m:rPr>
          <m:t>)</m:t>
        </m:r>
      </m:oMath>
      <w:r>
        <w:t xml:space="preserve"> </w:t>
      </w:r>
      <w:r>
        <w:t xml:space="preserve">la intensidad de emisiones por sector y</w:t>
      </w:r>
      <w:r>
        <w:t xml:space="preserve"> </w:t>
      </w:r>
      <m:oMath>
        <m:r>
          <m:t>m</m:t>
        </m:r>
        <m:r>
          <m:rPr>
            <m:sty m:val="p"/>
          </m:rPr>
          <m:t>=</m:t>
        </m:r>
        <m:sSub>
          <m:e>
            <m:r>
              <m:t>α</m:t>
            </m:r>
          </m:e>
          <m:sub>
            <m:r>
              <m:t>1</m:t>
            </m:r>
          </m:sub>
        </m:sSub>
        <m:r>
          <m:t>L</m:t>
        </m:r>
      </m:oMath>
      <w:r>
        <w:t xml:space="preserve"> </w:t>
      </w:r>
      <w:r>
        <w:t xml:space="preserve">el vector de multiplicadores de emisiones, la huella de carbono de</w:t>
      </w:r>
      <w:r>
        <w:t xml:space="preserve"> </w:t>
      </w:r>
      <w:r>
        <w:t xml:space="preserve">la demanda final es</w:t>
      </w:r>
    </w:p>
    <w:p>
      <w:pPr>
        <w:pStyle w:val="BodyText"/>
      </w:pPr>
      <m:oMathPara>
        <m:oMathParaPr>
          <m:jc m:val="center"/>
        </m:oMathParaPr>
        <m:oMath>
          <m:r>
            <m:t>C</m:t>
          </m:r>
          <m:r>
            <m:t>F</m:t>
          </m:r>
          <m:r>
            <m:rPr>
              <m:sty m:val="p"/>
            </m:rPr>
            <m:t>=</m:t>
          </m:r>
          <m:r>
            <m:t>m</m:t>
          </m:r>
          <m:r>
            <m:rPr>
              <m:sty m:val="p"/>
            </m:rPr>
            <m:t>⋅</m:t>
          </m:r>
          <m:r>
            <m:t>y</m:t>
          </m:r>
          <m:r>
            <m:rPr>
              <m:sty m:val="p"/>
            </m:rPr>
            <m:t>=</m:t>
          </m:r>
          <m:nary>
            <m:naryPr>
              <m:chr m:val="∑"/>
              <m:limLoc m:val="undOvr"/>
              <m:subHide m:val="off"/>
              <m:supHide m:val="on"/>
            </m:naryPr>
            <m:sub>
              <m:r>
                <m:t>j</m:t>
              </m:r>
            </m:sub>
            <m:sup>
              <m:r>
                <m:t>​</m:t>
              </m:r>
            </m:sup>
            <m:e>
              <m:sSub>
                <m:e>
                  <m:r>
                    <m:t>m</m:t>
                  </m:r>
                </m:e>
                <m:sub>
                  <m:r>
                    <m:t>j</m:t>
                  </m:r>
                </m:sub>
              </m:sSub>
            </m:e>
          </m:nary>
          <m:r>
            <m:t> </m:t>
          </m:r>
          <m:sSub>
            <m:e>
              <m:r>
                <m:t>y</m:t>
              </m:r>
            </m:e>
            <m:sub>
              <m:r>
                <m:t>j</m:t>
              </m:r>
            </m:sub>
          </m:sSub>
          <m:r>
            <m:rPr>
              <m:sty m:val="p"/>
            </m:rPr>
            <m:t>,</m:t>
          </m:r>
        </m:oMath>
      </m:oMathPara>
    </w:p>
    <w:p>
      <w:pPr>
        <w:pStyle w:val="FirstParagraph"/>
      </w:pPr>
      <w:r>
        <w:t xml:space="preserve">descomponible por componente de demanda (</w:t>
      </w:r>
      <m:oMath>
        <m:r>
          <m:t>C</m:t>
        </m:r>
        <m:sSub>
          <m:e>
            <m:r>
              <m:t>F</m:t>
            </m:r>
          </m:e>
          <m:sub>
            <m:r>
              <m:t>C</m:t>
            </m:r>
          </m:sub>
        </m:sSub>
        <m:r>
          <m:rPr>
            <m:sty m:val="p"/>
          </m:rPr>
          <m:t>,</m:t>
        </m:r>
        <m:r>
          <m:t>C</m:t>
        </m:r>
        <m:sSub>
          <m:e>
            <m:r>
              <m:t>F</m:t>
            </m:r>
          </m:e>
          <m:sub>
            <m:r>
              <m:t>G</m:t>
            </m:r>
          </m:sub>
        </m:sSub>
        <m:r>
          <m:rPr>
            <m:sty m:val="p"/>
          </m:rPr>
          <m:t>,</m:t>
        </m:r>
        <m:r>
          <m:t>C</m:t>
        </m:r>
        <m:sSub>
          <m:e>
            <m:r>
              <m:t>F</m:t>
            </m:r>
          </m:e>
          <m:sub>
            <m:r>
              <m:t>I</m:t>
            </m:r>
          </m:sub>
        </m:sSub>
        <m:r>
          <m:rPr>
            <m:sty m:val="p"/>
          </m:rPr>
          <m:t>,</m:t>
        </m:r>
        <m:r>
          <m:t>C</m:t>
        </m:r>
        <m:sSub>
          <m:e>
            <m:r>
              <m:t>F</m:t>
            </m:r>
          </m:e>
          <m:sub>
            <m:r>
              <m:t>X</m:t>
            </m:r>
          </m:sub>
        </m:sSub>
      </m:oMath>
      <w:r>
        <w:t xml:space="preserve">) y por sector.</w:t>
      </w:r>
    </w:p>
    <w:bookmarkEnd w:id="56"/>
    <w:bookmarkStart w:id="57" w:name="requisito-pendiente."/>
    <w:p>
      <w:pPr>
        <w:pStyle w:val="Heading4"/>
      </w:pPr>
      <w:r>
        <w:t xml:space="preserve">Requisito pendiente.</w:t>
      </w:r>
    </w:p>
    <w:p>
      <w:pPr>
        <w:pStyle w:val="FirstParagraph"/>
      </w:pPr>
      <w:r>
        <w:t xml:space="preserve">Implementar esta extensión exige vectores de emisiones por sector</w:t>
      </w:r>
      <w:r>
        <w:t xml:space="preserve"> </w:t>
      </w:r>
      <w:r>
        <w:t xml:space="preserve">(</w:t>
      </w:r>
      <m:oMath>
        <m:r>
          <m:t>γ</m:t>
        </m:r>
      </m:oMath>
      <w:r>
        <w:t xml:space="preserve">) para Argentina, Brasil, México y Uruguay, que aún no se han</w:t>
      </w:r>
      <w:r>
        <w:t xml:space="preserve"> </w:t>
      </w:r>
      <w:r>
        <w:t xml:space="preserve">incorporado. Para Colombia, la CEPAL los obtiene de IDEAM/UPME.</w:t>
      </w:r>
    </w:p>
    <w:bookmarkEnd w:id="57"/>
    <w:bookmarkEnd w:id="58"/>
    <w:bookmarkStart w:id="59" w:name="simulador-de-choques"/>
    <w:p>
      <w:pPr>
        <w:pStyle w:val="Heading1"/>
      </w:pPr>
      <w:r>
        <w:t xml:space="preserve">Simulador de Choques</w:t>
      </w:r>
    </w:p>
    <w:p>
      <w:pPr>
        <w:pStyle w:val="FirstParagraph"/>
      </w:pPr>
      <w:r>
        <w:t xml:space="preserve">Sobre las matrices publicadas se construyó un simulador que</w:t>
      </w:r>
      <w:r>
        <w:t xml:space="preserve"> </w:t>
      </w:r>
      <w:r>
        <w:rPr>
          <w:i/>
          <w:iCs/>
        </w:rPr>
        <w:t xml:space="preserve">no</w:t>
      </w:r>
      <w:r>
        <w:t xml:space="preserve"> </w:t>
      </w:r>
      <w:r>
        <w:t xml:space="preserve">reconstruye</w:t>
      </w:r>
      <w:r>
        <w:t xml:space="preserve"> </w:t>
      </w:r>
      <w:r>
        <w:t xml:space="preserve">ni altera matrices, solo las usa como insumo. Considera dos familias de choque:</w:t>
      </w:r>
    </w:p>
    <w:p>
      <w:pPr>
        <w:numPr>
          <w:ilvl w:val="0"/>
          <w:numId w:val="1008"/>
        </w:numPr>
      </w:pPr>
      <w:r>
        <w:rPr>
          <w:b/>
          <w:bCs/>
        </w:rPr>
        <w:t xml:space="preserve">Demanda</w:t>
      </w:r>
      <w:r>
        <w:t xml:space="preserve"> </w:t>
      </w:r>
      <w:r>
        <w:t xml:space="preserve">(cantidades de Leontief):</w:t>
      </w:r>
      <w:r>
        <w:t xml:space="preserve"> </w:t>
      </w:r>
      <m:oMath>
        <m:r>
          <m:rPr>
            <m:sty m:val="p"/>
          </m:rPr>
          <m:t>Δ</m:t>
        </m:r>
        <m:r>
          <m:t>x</m:t>
        </m:r>
        <m:r>
          <m:rPr>
            <m:sty m:val="p"/>
          </m:rPr>
          <m:t>=</m:t>
        </m:r>
        <m:r>
          <m:t>L</m:t>
        </m:r>
        <m:r>
          <m:t> </m:t>
        </m:r>
        <m:r>
          <m:rPr>
            <m:sty m:val="p"/>
          </m:rPr>
          <m:t>Δ</m:t>
        </m:r>
        <m:r>
          <m:t>y</m:t>
        </m:r>
      </m:oMath>
      <w:r>
        <w:t xml:space="preserve">,</w:t>
      </w:r>
      <w:r>
        <w:t xml:space="preserve"> </w:t>
      </w:r>
      <w:r>
        <w:t xml:space="preserve">propaga efectos hacia atrás ante un cambio en la demanda final.</w:t>
      </w:r>
    </w:p>
    <w:p>
      <w:pPr>
        <w:numPr>
          <w:ilvl w:val="0"/>
          <w:numId w:val="1008"/>
        </w:numPr>
      </w:pPr>
      <w:r>
        <w:rPr>
          <w:b/>
          <w:bCs/>
        </w:rPr>
        <w:t xml:space="preserve">Oferta/costos</w:t>
      </w:r>
      <w:r>
        <w:t xml:space="preserve"> </w:t>
      </w:r>
      <w:r>
        <w:t xml:space="preserve">(precios de Ghosh):</w:t>
      </w:r>
      <w:r>
        <w:t xml:space="preserve"> </w:t>
      </w:r>
      <m:oMath>
        <m:r>
          <m:rPr>
            <m:sty m:val="p"/>
          </m:rPr>
          <m:t>Δ</m:t>
        </m:r>
        <m:sSup>
          <m:e>
            <m:r>
              <m:t>x</m:t>
            </m:r>
          </m:e>
          <m:sup>
            <m:r>
              <m:rPr>
                <m:sty m:val="p"/>
              </m:rPr>
              <m:t>′</m:t>
            </m:r>
          </m:sup>
        </m:sSup>
        <m:r>
          <m:rPr>
            <m:sty m:val="p"/>
          </m:rPr>
          <m:t>=</m:t>
        </m:r>
        <m:r>
          <m:rPr>
            <m:sty m:val="p"/>
          </m:rPr>
          <m:t>Δ</m:t>
        </m:r>
        <m:sSup>
          <m:e>
            <m:r>
              <m:t>v</m:t>
            </m:r>
          </m:e>
          <m:sup>
            <m:r>
              <m:rPr>
                <m:sty m:val="p"/>
              </m:rPr>
              <m:t>′</m:t>
            </m:r>
          </m:sup>
        </m:sSup>
        <m:r>
          <m:t> </m:t>
        </m:r>
        <m:r>
          <m:t>G</m:t>
        </m:r>
      </m:oMath>
      <w:r>
        <w:t xml:space="preserve">, propaga efectos hacia adelante ante un cambio</w:t>
      </w:r>
      <w:r>
        <w:t xml:space="preserve"> </w:t>
      </w:r>
      <w:r>
        <w:t xml:space="preserve">en insumos primarios o valor agregado.</w:t>
      </w:r>
    </w:p>
    <w:p>
      <w:pPr>
        <w:pStyle w:val="FirstParagraph"/>
      </w:pPr>
      <w:r>
        <w:t xml:space="preserve">Las verificaciones algebraicas confirman que un choque unitario a la demanda del</w:t>
      </w:r>
      <w:r>
        <w:t xml:space="preserve"> </w:t>
      </w:r>
      <w:r>
        <w:t xml:space="preserve">sector</w:t>
      </w:r>
      <w:r>
        <w:t xml:space="preserve"> </w:t>
      </w:r>
      <m:oMath>
        <m:r>
          <m:t>j</m:t>
        </m:r>
      </m:oMath>
      <w:r>
        <w:t xml:space="preserve"> </w:t>
      </w:r>
      <w:r>
        <w:t xml:space="preserve">reproduce exactamente la columna</w:t>
      </w:r>
      <w:r>
        <w:t xml:space="preserve"> </w:t>
      </w:r>
      <m:oMath>
        <m:r>
          <m:t>j</m:t>
        </m:r>
      </m:oMath>
      <w:r>
        <w:t xml:space="preserve"> </w:t>
      </w:r>
      <w:r>
        <w:t xml:space="preserve">de</w:t>
      </w:r>
      <w:r>
        <w:t xml:space="preserve"> </w:t>
      </w:r>
      <m:oMath>
        <m:r>
          <m:t>L</m:t>
        </m:r>
      </m:oMath>
      <w:r>
        <w:t xml:space="preserve"> </w:t>
      </w:r>
      <w:r>
        <w:t xml:space="preserve">y que el multiplicador de</w:t>
      </w:r>
      <w:r>
        <w:t xml:space="preserve"> </w:t>
      </w:r>
      <w:r>
        <w:t xml:space="preserve">demanda coincide con la suma de columna de</w:t>
      </w:r>
      <w:r>
        <w:t xml:space="preserve"> </w:t>
      </w:r>
      <m:oMath>
        <m:r>
          <m:t>L</m:t>
        </m:r>
      </m:oMath>
      <w:r>
        <w:t xml:space="preserve">.</w:t>
      </w:r>
    </w:p>
    <w:bookmarkEnd w:id="59"/>
    <w:bookmarkStart w:id="62" w:name="reglas-de-colaboración-y-trabajo-futuro"/>
    <w:p>
      <w:pPr>
        <w:pStyle w:val="Heading1"/>
      </w:pPr>
      <w:r>
        <w:t xml:space="preserve">Reglas de Colaboración y Trabajo Futuro</w:t>
      </w:r>
    </w:p>
    <w:bookmarkStart w:id="60" w:name="reglas-para-no-romper-la-trazabilidad."/>
    <w:p>
      <w:pPr>
        <w:pStyle w:val="Heading4"/>
      </w:pPr>
      <w:r>
        <w:t xml:space="preserve">Reglas para no romper la trazabilidad.</w:t>
      </w:r>
    </w:p>
    <w:p>
      <w:pPr>
        <w:numPr>
          <w:ilvl w:val="0"/>
          <w:numId w:val="1009"/>
        </w:numPr>
      </w:pPr>
      <w:r>
        <w:t xml:space="preserve">No reemplazar una matriz publicada sin regenerar validación y auditoría.</w:t>
      </w:r>
    </w:p>
    <w:p>
      <w:pPr>
        <w:numPr>
          <w:ilvl w:val="0"/>
          <w:numId w:val="1009"/>
        </w:numPr>
      </w:pPr>
      <w:r>
        <w:t xml:space="preserve">No borrar sectores por diagonal cero.</w:t>
      </w:r>
    </w:p>
    <w:p>
      <w:pPr>
        <w:numPr>
          <w:ilvl w:val="0"/>
          <w:numId w:val="1009"/>
        </w:numPr>
      </w:pPr>
      <w:r>
        <w:t xml:space="preserve">No mezclar matrices directas con reconstruidas sin marcar el tipo.</w:t>
      </w:r>
    </w:p>
    <w:p>
      <w:pPr>
        <w:numPr>
          <w:ilvl w:val="0"/>
          <w:numId w:val="1009"/>
        </w:numPr>
      </w:pPr>
      <w:r>
        <w:t xml:space="preserve">No presentar ajustes generales de</w:t>
      </w:r>
      <w:r>
        <w:t xml:space="preserve"> </w:t>
      </w:r>
      <m:oMath>
        <m:r>
          <m:t>Z</m:t>
        </m:r>
      </m:oMath>
      <w:r>
        <w:t xml:space="preserve"> </w:t>
      </w:r>
      <w:r>
        <w:t xml:space="preserve">como cifras oficiales.</w:t>
      </w:r>
    </w:p>
    <w:bookmarkEnd w:id="60"/>
    <w:bookmarkStart w:id="61" w:name="trabajo-futuro."/>
    <w:p>
      <w:pPr>
        <w:pStyle w:val="Heading4"/>
      </w:pPr>
      <w:r>
        <w:t xml:space="preserve">Trabajo futuro.</w:t>
      </w:r>
    </w:p>
    <w:p>
      <w:pPr>
        <w:numPr>
          <w:ilvl w:val="0"/>
          <w:numId w:val="1010"/>
        </w:numPr>
      </w:pPr>
      <w:r>
        <w:t xml:space="preserve">Uruguay 2017: conseguir demanda final fuente completa para resolver la</w:t>
      </w:r>
      <w:r>
        <w:t xml:space="preserve"> </w:t>
      </w:r>
      <w:r>
        <w:t xml:space="preserve">alerta de demanda final negativa.</w:t>
      </w:r>
    </w:p>
    <w:p>
      <w:pPr>
        <w:numPr>
          <w:ilvl w:val="0"/>
          <w:numId w:val="1010"/>
        </w:numPr>
      </w:pPr>
      <w:r>
        <w:t xml:space="preserve">Extender Brasil y Uruguay a los años más recientes según se publiquen</w:t>
      </w:r>
      <w:r>
        <w:t xml:space="preserve"> </w:t>
      </w:r>
      <w:r>
        <w:t xml:space="preserve">COU/TRU compatibles.</w:t>
      </w:r>
    </w:p>
    <w:p>
      <w:pPr>
        <w:numPr>
          <w:ilvl w:val="0"/>
          <w:numId w:val="1010"/>
        </w:numPr>
      </w:pPr>
      <w:r>
        <w:t xml:space="preserve">Incorporar vectores de empleo y de emisiones por sector para activar los</w:t>
      </w:r>
      <w:r>
        <w:t xml:space="preserve"> </w:t>
      </w:r>
      <w:r>
        <w:t xml:space="preserve">multiplicadores de empleo y la extensión ambiental.</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Metodología para la Reconstrucción de Matrices Insumo-Producto a partir de Cuadros de Oferta y Utilización Argentina, Brasil, México y Uruguay</dc:title>
  <dc:creator>Proyecto matrices-mip</dc:creator>
  <cp:keywords/>
  <dcterms:created xsi:type="dcterms:W3CDTF">2026-06-12T05:14:02Z</dcterms:created>
  <dcterms:modified xsi:type="dcterms:W3CDTF">2026-06-12T05:14:02Z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Este documento describe la metodología empleada para construir y reconstruir una serie de 36 matrices insumo-producto (MIP) anuales para cuatro economías latinoamericanas —Argentina, Brasil, México y Uruguay—, así como las fuentes, supuestos, validaciones y límites del trabajo. La serie combina matrices directas (publicadas por las oficinas nacionales de estadística) con matrices reconstruidas a partir de Cuadros de Oferta y Utilización (COU/SUT) bajo el supuesto de tecnología de industria. La notación sigue el marco de la CEPAL para la Matriz Insumo-Producto Extendida Ambientalmente y Huella de Carbono (2025), de modo que la serie quede lista para una eventual extensión ambiental. Se documentan el modelo de Leontief (encadenamientos hacia atrás), el modelo de Ghosh (encadenamientos hacia adelante), los multiplicadores de producción, la validación matemática y la auditoría de cobertura sectorial.</vt:lpwstr>
  </property>
  <property fmtid="{D5CDD505-2E9C-101B-9397-08002B2CF9AE}" pid="3" name="date">
    <vt:lpwstr>Corte de datos: junio de 2026</vt:lpwstr>
  </property>
</Properties>
</file>