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Arial" w:hAnsi="Arial" w:eastAsia="Arial"/>
          <w:b/>
          <w:color w:val="1F4E79"/>
          <w:sz w:val="50"/>
        </w:rPr>
        <w:t>Metodología, avances y siguientes pasos</w:t>
        <w:br/>
      </w:r>
      <w:r>
        <w:rPr>
          <w:rFonts w:ascii="Arial" w:hAnsi="Arial" w:eastAsia="Arial"/>
          <w:b w:val="0"/>
          <w:color w:val="2F6F73"/>
          <w:sz w:val="32"/>
        </w:rPr>
        <w:t>Repositorio de matrices insumo-producto</w:t>
      </w:r>
    </w:p>
    <w:p>
      <w:pPr>
        <w:spacing w:before="560"/>
        <w:jc w:val="center"/>
      </w:pPr>
      <w:r>
        <w:rPr>
          <w:rFonts w:ascii="Arial" w:hAnsi="Arial" w:eastAsia="Arial"/>
          <w:b w:val="0"/>
          <w:color w:val="505050"/>
          <w:sz w:val="22"/>
        </w:rPr>
        <w:t>Argentina, Brasil, México y Uruguay</w:t>
        <w:br/>
      </w:r>
      <w:r>
        <w:rPr>
          <w:rFonts w:ascii="Arial" w:hAnsi="Arial" w:eastAsia="Arial"/>
          <w:b w:val="0"/>
          <w:color w:val="505050"/>
          <w:sz w:val="22"/>
        </w:rPr>
        <w:t>Actualización: 29 de mayo de 2026</w:t>
        <w:br/>
      </w:r>
      <w:r>
        <w:rPr>
          <w:rFonts w:ascii="Arial" w:hAnsi="Arial" w:eastAsia="Arial"/>
          <w:b w:val="0"/>
          <w:color w:val="505050"/>
          <w:sz w:val="22"/>
        </w:rPr>
        <w:t>Basado en la metodología de MIP extendida ambientalmente y huella de carbono</w:t>
        <w:br/>
      </w:r>
    </w:p>
    <w:p>
      <w:r>
        <w:br w:type="page"/>
      </w:r>
    </w:p>
    <w:p>
      <w:pPr>
        <w:spacing w:after="120" w:line="259" w:lineRule="auto"/>
      </w:pPr>
      <w:r>
        <w:rPr>
          <w:rFonts w:ascii="Arial" w:hAnsi="Arial" w:eastAsia="Arial"/>
          <w:b/>
          <w:sz w:val="21"/>
        </w:rPr>
        <w:t>Proyecto:</w:t>
      </w:r>
      <w:r>
        <w:rPr>
          <w:rFonts w:ascii="Arial" w:hAnsi="Arial" w:eastAsia="Arial"/>
          <w:b w:val="0"/>
          <w:sz w:val="21"/>
        </w:rPr>
        <w:t xml:space="preserve"> repositorio de matrices insumo-producto para Argentina, Brasil, México y Uruguay</w:t>
      </w:r>
    </w:p>
    <w:p>
      <w:pPr>
        <w:spacing w:after="120" w:line="259" w:lineRule="auto"/>
      </w:pPr>
      <w:r>
        <w:rPr>
          <w:rFonts w:ascii="Arial" w:hAnsi="Arial" w:eastAsia="Arial"/>
          <w:b/>
          <w:sz w:val="21"/>
        </w:rPr>
        <w:t>Fecha de actualización:</w:t>
      </w:r>
      <w:r>
        <w:rPr>
          <w:rFonts w:ascii="Arial" w:hAnsi="Arial" w:eastAsia="Arial"/>
          <w:b w:val="0"/>
          <w:sz w:val="21"/>
        </w:rPr>
        <w:t xml:space="preserve"> 29 de mayo de 2026</w:t>
      </w:r>
    </w:p>
    <w:p>
      <w:pPr>
        <w:spacing w:after="120" w:line="259" w:lineRule="auto"/>
      </w:pPr>
      <w:r>
        <w:rPr>
          <w:rFonts w:ascii="Arial" w:hAnsi="Arial" w:eastAsia="Arial"/>
          <w:b/>
          <w:sz w:val="21"/>
        </w:rPr>
        <w:t>Documento base revisado:</w:t>
      </w:r>
      <w:r>
        <w:rPr>
          <w:rFonts w:ascii="Arial" w:hAnsi="Arial" w:eastAsia="Arial"/>
          <w:b w:val="0"/>
          <w:sz w:val="21"/>
        </w:rPr>
        <w:t xml:space="preserve"> </w:t>
      </w:r>
      <w:r>
        <w:rPr>
          <w:rFonts w:ascii="Consolas" w:hAnsi="Consolas" w:eastAsia="Consolas"/>
          <w:b w:val="0"/>
          <w:color w:val="1F4E79"/>
          <w:sz w:val="18"/>
        </w:rPr>
        <w:t>C:\Users\edwin\Downloads\Metodología (1).pdf</w:t>
      </w:r>
    </w:p>
    <w:p>
      <w:pPr>
        <w:pStyle w:val="Heading1"/>
        <w:spacing w:before="200" w:after="80"/>
      </w:pPr>
      <w:r>
        <w:t>1. Propósito del documento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Este documento sistematiza la metodología aplicada para construir, validar y entregar el repositorio de matrices insumo-producto (MIP), tomando como referencia conceptual el documento base de metodología para la estimación de matrices insumo-producto extendidas ambientalmente y huella de carbono.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metodología base del PDF plantea una arquitectura completa para pasar de matrices económicas a matrices extendidas ambientalmente: MIP, coeficientes técnicos, inversa de Leontief, modelo de Ghosh, intensidades ambientales, multiplicadores de emisiones, huella de carbono, análisis temporal y difusión de resultados. En el trabajo realizado hasta ahora se consolidó primero la capa económica y contable de las MIP para cuatro países. La extensión ambiental queda definida como siguiente fase natural.</w:t>
      </w:r>
    </w:p>
    <w:p>
      <w:pPr>
        <w:pStyle w:val="Heading1"/>
        <w:spacing w:before="200" w:after="80"/>
      </w:pPr>
      <w:r>
        <w:t>2. Alcance actual del proyecto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alcance ejecutado se concentra en la construcción de un repositorio económico comparable de MIP por país y año, con énfasis en trazabilidad de fuentes, procesamiento reproducible, validaciones matemáticas y entrega de archivos Excel autosuficientes.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País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Años incorporados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Número de matrices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Argentina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1997, 2004, 2018, 2019, 2020, 2021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Integrado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Brasil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2000-2021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22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Integrado, serie histórica completa en el alcance disponible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México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2003, 2008, 2013, 2018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Integrado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Uruguay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2016, 2017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Integrado, con alerta técnica en 2017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/>
                <w:sz w:val="18"/>
              </w:rPr>
              <w:t>Total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/>
                <w:sz w:val="18"/>
              </w:rPr>
              <w:t>1997-2021 según disponibilidad por país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/>
                <w:sz w:val="18"/>
              </w:rPr>
              <w:t>34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/>
                <w:sz w:val="18"/>
              </w:rPr>
              <w:t>Repositorio entregable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 xml:space="preserve">El proyecto no estima todavía matrices ambientalmente extendidas. Sin embargo, los Excel generados ya incluyen los objetos económicos necesarios para una fase posterior de extensión ambiental: </w:t>
      </w:r>
      <w:r>
        <w:rPr>
          <w:rFonts w:ascii="Consolas" w:hAnsi="Consolas" w:eastAsia="Consolas"/>
          <w:b w:val="0"/>
          <w:color w:val="1F4E79"/>
          <w:sz w:val="18"/>
        </w:rPr>
        <w:t>Z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A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L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B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G</w:t>
      </w:r>
      <w:r>
        <w:rPr>
          <w:rFonts w:ascii="Arial" w:hAnsi="Arial" w:eastAsia="Arial"/>
          <w:b w:val="0"/>
          <w:sz w:val="21"/>
        </w:rPr>
        <w:t>, producción bruta, valor agregado, balances sectoriales y multiplicadores.</w:t>
      </w:r>
    </w:p>
    <w:p>
      <w:pPr>
        <w:pStyle w:val="Heading1"/>
        <w:spacing w:before="200" w:after="80"/>
      </w:pPr>
      <w:r>
        <w:t>3. Relación con la metodología base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PDF de referencia está estructurado alrededor de una MIP extendida ambientalmente para Colombia, con horizonte 2017, 2019 y 2021. De ese documento se toman cinco componentes metodológicos como guía: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/>
          <w:sz w:val="21"/>
        </w:rPr>
        <w:t>Marco MIP:</w:t>
      </w:r>
      <w:r>
        <w:rPr>
          <w:rFonts w:ascii="Arial" w:hAnsi="Arial" w:eastAsia="Arial"/>
          <w:b w:val="0"/>
          <w:sz w:val="21"/>
        </w:rPr>
        <w:t xml:space="preserve"> matriz de transacciones intermedias, vector de producción bruta y demanda final.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/>
          <w:sz w:val="21"/>
        </w:rPr>
        <w:t>Modelo de Leontief:</w:t>
      </w:r>
      <w:r>
        <w:rPr>
          <w:rFonts w:ascii="Arial" w:hAnsi="Arial" w:eastAsia="Arial"/>
          <w:b w:val="0"/>
          <w:sz w:val="21"/>
        </w:rPr>
        <w:t xml:space="preserve"> coeficientes técnicos, inversa de Leontief y multiplicadores hacia atrás.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/>
          <w:sz w:val="21"/>
        </w:rPr>
        <w:t>Modelo de Ghosh:</w:t>
      </w:r>
      <w:r>
        <w:rPr>
          <w:rFonts w:ascii="Arial" w:hAnsi="Arial" w:eastAsia="Arial"/>
          <w:b w:val="0"/>
          <w:sz w:val="21"/>
        </w:rPr>
        <w:t xml:space="preserve"> coeficientes de distribución, inversa de Ghosh y encadenamientos hacia adelante.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/>
          <w:sz w:val="21"/>
        </w:rPr>
        <w:t>Separación doméstica/importada:</w:t>
      </w:r>
      <w:r>
        <w:rPr>
          <w:rFonts w:ascii="Arial" w:hAnsi="Arial" w:eastAsia="Arial"/>
          <w:b w:val="0"/>
          <w:sz w:val="21"/>
        </w:rPr>
        <w:t xml:space="preserve"> tratamiento de transacciones nacionales e importadas cuando la fuente lo permite.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/>
          <w:sz w:val="21"/>
        </w:rPr>
        <w:t>Extensión ambiental futura:</w:t>
      </w:r>
      <w:r>
        <w:rPr>
          <w:rFonts w:ascii="Arial" w:hAnsi="Arial" w:eastAsia="Arial"/>
          <w:b w:val="0"/>
          <w:sz w:val="21"/>
        </w:rPr>
        <w:t xml:space="preserve"> incorporación de matrices de presiones ambientales, intensidades directas, multiplicadores ambientales y huella de carbono.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adaptación realizada cambia el foco geográfico y operativo. En lugar de partir de Colombia y de una MIP ambiental, el trabajo construido parte de fuentes oficiales de Argentina, Brasil, México y Uruguay y consolida primero la base económica comparable. Esta decisión es metodológicamente importante: una extensión ambiental confiable requiere que las matrices económicas estén cuadradas, alineadas y validadas antes de integrar emisiones u otros indicadores físicos.</w:t>
      </w:r>
    </w:p>
    <w:p>
      <w:pPr>
        <w:pStyle w:val="Heading1"/>
        <w:spacing w:before="200" w:after="80"/>
      </w:pPr>
      <w:r>
        <w:t>4. Conceptos y notación usados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Para cada país y año se usa la siguiente notación: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Símbolo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Descripción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Matriz de flujos intermedios sector por sector.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Vector de producción bruta sectorial.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W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Vector de valor agregado sectorial.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Matriz de coeficientes técnicos de Leontief.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L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Inversa de Leontief.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B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Matriz de coeficientes de distribución de Ghosh.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Inversa de Ghosh.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f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Demanda final residual sectorial cuando la fuente no entrega una apertura compatible.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CI_importado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Consumo intermedio importado, explícito o residual según disponibilidad de fuente.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Las identidades centrales 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A = Z * diag(g)^-1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L = (I - A)^-1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B = diag(g)^-1 * Z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G = (I - B)^-1</w:t>
              <w:br/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lectura económica es complementaria: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L</w:t>
      </w:r>
      <w:r>
        <w:rPr>
          <w:rFonts w:ascii="Arial" w:hAnsi="Arial" w:eastAsia="Arial"/>
          <w:b w:val="0"/>
          <w:sz w:val="21"/>
        </w:rPr>
        <w:t xml:space="preserve"> mide requerimientos directos e indirectos ante cambios en la demanda final.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G</w:t>
      </w:r>
      <w:r>
        <w:rPr>
          <w:rFonts w:ascii="Arial" w:hAnsi="Arial" w:eastAsia="Arial"/>
          <w:b w:val="0"/>
          <w:sz w:val="21"/>
        </w:rPr>
        <w:t xml:space="preserve"> mide la propagación hacia adelante de cambios asociados a la oferta o al valor agregado primario.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Los multiplicadores de producción se derivan de las sumas de columnas de </w:t>
      </w:r>
      <w:r>
        <w:rPr>
          <w:rFonts w:ascii="Consolas" w:hAnsi="Consolas" w:eastAsia="Consolas"/>
          <w:b w:val="0"/>
          <w:color w:val="1F4E79"/>
          <w:sz w:val="18"/>
        </w:rPr>
        <w:t>L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Los multiplicadores de distribución se derivan de la estructura de </w:t>
      </w:r>
      <w:r>
        <w:rPr>
          <w:rFonts w:ascii="Consolas" w:hAnsi="Consolas" w:eastAsia="Consolas"/>
          <w:b w:val="0"/>
          <w:color w:val="1F4E79"/>
          <w:sz w:val="18"/>
        </w:rPr>
        <w:t>G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Heading1"/>
        <w:spacing w:before="200" w:after="80"/>
      </w:pPr>
      <w:r>
        <w:t>5. Fuentes y estrategia de acopio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procesamiento se apoyó en fuentes oficiales y archivos institucionales ya disponibles en el proyecto: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País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Fuente principal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Tratamiento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Argentina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INDEC y CEPAL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MIP directa 1997; COU/MIP procesadas para 2004 y 2018-2021.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Brasil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IBGE y CEPAL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Serie 2000-2009 desde base temprana CEPAL; 2010-2021 desde matrices IBGE/SCN.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México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INEGI y CEPAL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MIP oficiales 2003, 2008, 2013 y 2018.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Uruguay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Banco Central del Uruguay y CEPAL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MIP directa 2016; COU 2017 convertido a MIP.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 xml:space="preserve">Además, se hizo una revisión externa de fuentes estatales para ampliar histórico. El resultado quedó documentado en </w:t>
      </w:r>
      <w:r>
        <w:rPr>
          <w:rFonts w:ascii="Consolas" w:hAnsi="Consolas" w:eastAsia="Consolas"/>
          <w:b w:val="0"/>
          <w:color w:val="1F4E79"/>
          <w:sz w:val="18"/>
        </w:rPr>
        <w:t>FUENTES_EXTERNAS_HISTORICO.md</w:t>
      </w:r>
      <w:r>
        <w:rPr>
          <w:rFonts w:ascii="Arial" w:hAnsi="Arial" w:eastAsia="Arial"/>
          <w:b w:val="0"/>
          <w:sz w:val="21"/>
        </w:rPr>
        <w:t>. Las principales brechas identificadas fueron: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Argentina 2005-2017: no se localizaron matrices oficiales públicas directamente descargables.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Brasil 2022-2023: disponibilidad pública a niveles agregados que no reemplazan la serie detallada usada.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México 2023: no se localizó un paquete oficial de MIP comparable listo para integrar.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Uruguay 2018 en adelante: no se localizaron matrices detalladas suficientes para incorporar al pipeline.</w:t>
      </w:r>
    </w:p>
    <w:p>
      <w:pPr>
        <w:pStyle w:val="Heading1"/>
        <w:spacing w:before="200" w:after="80"/>
      </w:pPr>
      <w:r>
        <w:t>6. Procesamiento económico realizado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pipeline distingue dos familias de entrada: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/>
          <w:sz w:val="21"/>
        </w:rPr>
        <w:t>MIP directas:</w:t>
      </w:r>
      <w:r>
        <w:rPr>
          <w:rFonts w:ascii="Arial" w:hAnsi="Arial" w:eastAsia="Arial"/>
          <w:b w:val="0"/>
          <w:sz w:val="21"/>
        </w:rPr>
        <w:t xml:space="preserve"> matrices ya publicadas como producto final por el instituto estadístico. En estos casos se preserva la estructura original y se normaliza el formato para análisis.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/>
          <w:sz w:val="21"/>
        </w:rPr>
        <w:t>COU convertidos a MIP:</w:t>
      </w:r>
      <w:r>
        <w:rPr>
          <w:rFonts w:ascii="Arial" w:hAnsi="Arial" w:eastAsia="Arial"/>
          <w:b w:val="0"/>
          <w:sz w:val="21"/>
        </w:rPr>
        <w:t xml:space="preserve"> cuadros de oferta y utilización que requieren transformar producto por industria hacia una matriz sector por sector.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Cuando se parte de COU, se usa una tecnología compatible con el enfoque industria/producto disponible en las fuentes. De forma general: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D = V * diag(q)^-1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Z = D * U_nacional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A = Z * diag(g)^-1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L = (I - A)^-1</w:t>
              <w:br/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Donde: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V</w:t>
      </w:r>
      <w:r>
        <w:rPr>
          <w:rFonts w:ascii="Arial" w:hAnsi="Arial" w:eastAsia="Arial"/>
          <w:b w:val="0"/>
          <w:sz w:val="21"/>
        </w:rPr>
        <w:t xml:space="preserve"> es la matriz de producción/oferta.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q</w:t>
      </w:r>
      <w:r>
        <w:rPr>
          <w:rFonts w:ascii="Arial" w:hAnsi="Arial" w:eastAsia="Arial"/>
          <w:b w:val="0"/>
          <w:sz w:val="21"/>
        </w:rPr>
        <w:t xml:space="preserve"> es la producción por producto.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U_nacional</w:t>
      </w:r>
      <w:r>
        <w:rPr>
          <w:rFonts w:ascii="Arial" w:hAnsi="Arial" w:eastAsia="Arial"/>
          <w:b w:val="0"/>
          <w:sz w:val="21"/>
        </w:rPr>
        <w:t xml:space="preserve"> es la utilización intermedia nacional.</w:t>
      </w:r>
    </w:p>
    <w:p>
      <w:pPr>
        <w:pStyle w:val="ListBullet"/>
        <w:spacing w:after="60" w:line="259" w:lineRule="auto"/>
      </w:pPr>
      <w:r>
        <w:rPr>
          <w:rFonts w:ascii="Consolas" w:hAnsi="Consolas" w:eastAsia="Consolas"/>
          <w:b w:val="0"/>
          <w:color w:val="1F4E79"/>
          <w:sz w:val="18"/>
        </w:rPr>
        <w:t>D</w:t>
      </w:r>
      <w:r>
        <w:rPr>
          <w:rFonts w:ascii="Arial" w:hAnsi="Arial" w:eastAsia="Arial"/>
          <w:b w:val="0"/>
          <w:sz w:val="21"/>
        </w:rPr>
        <w:t xml:space="preserve"> es una matriz de transformación producto-industria.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separación nacional/importado se resuelve con prioridad en la fuente: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>Si la fuente entrega matriz importada explícita, se usa directamente.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>Si solo hay vector de importaciones, se aplica una asignación proporcional documentada.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>Si no hay apertura importada, se conserva la MIP nacional disponible y se marca la limitación.</w:t>
      </w:r>
    </w:p>
    <w:p>
      <w:pPr>
        <w:pStyle w:val="Heading1"/>
        <w:spacing w:before="200" w:after="80"/>
      </w:pPr>
      <w:r>
        <w:t>7. Estructura de los archivos Excel entregados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Cada Excel país-año fue generado para ser autosuficiente. Las hojas incluidas son: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Hoja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Contenido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README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Metadatos, país, año, fuente, serie y notas.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Z_MIP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Flujos intermedios sector por sector.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A_coef_tecnicos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Coeficientes técnicos: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 = Z * diag(g)^-1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L_leontief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Inversa de Leontief: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L = (I - A)^-1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B_ghosh_coef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Coeficientes de distribución: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B = diag(g)^-1 * Z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G_ghosh_inversa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Inversa de Ghosh: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 = (I - B)^-1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g_produccion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Producción bruta sectorial.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W_valor_agregado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Valor agregado sectorial.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multiplicadores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Multiplicadores Leontief y Ghosh por sector.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balances_sectoriales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Compras, ventas, demanda final residual y valor agregado residual.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validacion_resumen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Estado de las validaciones principales.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val_A_menos_Zg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 - Z/g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val_Leontief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(I - A)L - I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val_Ghosh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(I - B)G - I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paquete principal quedó organizado 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output/matrices_insumo_producto/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 xml:space="preserve">  Argentina/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 xml:space="preserve">  Brasil/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 xml:space="preserve">  Mexico/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 xml:space="preserve">  Uruguay/</w:t>
              <w:br/>
            </w:r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 xml:space="preserve">  indice_matrices_insumo_producto.xlsx</w:t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t>8. Validaciones matemáticas aplicadas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validación se diseñó para diferenciar fallas estructurales de alertas diagnósticas. Las pruebas estructurales determinan si una matriz es usable para multiplicadores; las diagnósticas orientan revisiones económicas posteriores.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Indicador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Qué valida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Criterio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Interpretación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cuadrada_Z_A_L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Dimensión sector por sector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  <w:r>
              <w:rPr>
                <w:rFonts w:ascii="Arial" w:hAnsi="Arial" w:eastAsia="Arial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</w:t>
            </w:r>
            <w:r>
              <w:rPr>
                <w:rFonts w:ascii="Arial" w:hAnsi="Arial" w:eastAsia="Arial"/>
                <w:b w:val="0"/>
                <w:sz w:val="18"/>
              </w:rPr>
              <w:t xml:space="preserve"> y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L</w:t>
            </w:r>
            <w:r>
              <w:rPr>
                <w:rFonts w:ascii="Arial" w:hAnsi="Arial" w:eastAsia="Arial"/>
                <w:b w:val="0"/>
                <w:sz w:val="18"/>
              </w:rPr>
              <w:t xml:space="preserve"> son matrices cuadradas y compatibles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Condición mínima para invertir matrices y calcular multiplicadores.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etiquetas_alineadas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Coherencia sectorial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Filas, columnas y vectores comparten sectores y orden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Evita asignar producción o coeficientes a sectores incorrectos.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no_negatividad_Z_A_g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Signo económico básico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 &gt;= 0</w:t>
            </w:r>
            <w:r>
              <w:rPr>
                <w:rFonts w:ascii="Arial" w:hAnsi="Arial" w:eastAsia="Arial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 &gt;= 0</w:t>
            </w:r>
            <w:r>
              <w:rPr>
                <w:rFonts w:ascii="Arial" w:hAnsi="Arial" w:eastAsia="Arial"/>
                <w:b w:val="0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 &gt; 0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Negativos se marcan como alerta contable.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max_abs_A_menos_Z_sobre_g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Consistencia de coeficientes técnicos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Máximo 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 - Z * diag(g)^-1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Debe ser cercano a cero.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max_abs_Leontief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Validez algebraica de Leontief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Máximo 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(I - A)L - I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Confirma que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L</w:t>
            </w:r>
            <w:r>
              <w:rPr>
                <w:rFonts w:ascii="Arial" w:hAnsi="Arial" w:eastAsia="Arial"/>
                <w:b w:val="0"/>
                <w:sz w:val="18"/>
              </w:rPr>
              <w:t xml:space="preserve"> es inversa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I - A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max_abs_Ghosh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Validez algebraica de Ghosh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Máximo residual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(I - B)G - I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Confirma que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</w:t>
            </w:r>
            <w:r>
              <w:rPr>
                <w:rFonts w:ascii="Arial" w:hAnsi="Arial" w:eastAsia="Arial"/>
                <w:b w:val="0"/>
                <w:sz w:val="18"/>
              </w:rPr>
              <w:t xml:space="preserve"> es inversa 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I - B</w:t>
            </w:r>
            <w:r>
              <w:rPr>
                <w:rFonts w:ascii="Arial" w:hAnsi="Arial" w:eastAsia="Arial"/>
                <w:b w:val="0"/>
                <w:sz w:val="18"/>
              </w:rPr>
              <w:t>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celdas_negativas_Z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Localización de negativos en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Conteo de celdas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Z_ij &lt; 0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Permite ubicar problemas de conversión o fuente.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sectores_demanda_final_residual_negativa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Cierre por ventas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Conteo de sectores donde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 - ventas intermedias &lt; 0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Alerta de cierre por demanda final residual.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sectores_va_residual_negativo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Cierre por compras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Conteo de sectores donde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g - compras intermedias - CI_importado &lt; 0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Alerta de cierre de valor agregado.</w:t>
            </w:r>
          </w:p>
        </w:tc>
      </w:tr>
    </w:tbl>
    <w:p/>
    <w:p>
      <w:pPr>
        <w:pStyle w:val="Heading1"/>
        <w:spacing w:before="200" w:after="80"/>
      </w:pPr>
      <w:r>
        <w:t>9. Resultados de validación obtenidos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 w:val="true"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País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Matrices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Resultado estructural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Alertas diagnósticas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Argentina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Todas cuadradas, alineadas, no negativas y con Leontief/Ghosh consistente. Mayor residual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A - Z/g</w:t>
            </w:r>
            <w:r>
              <w:rPr>
                <w:rFonts w:ascii="Arial" w:hAnsi="Arial" w:eastAsia="Arial"/>
                <w:b w:val="0"/>
                <w:sz w:val="18"/>
              </w:rPr>
              <w:t xml:space="preserve">: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6.91e-04</w:t>
            </w:r>
            <w:r>
              <w:rPr>
                <w:rFonts w:ascii="Arial" w:hAnsi="Arial" w:eastAsia="Arial"/>
                <w:b w:val="0"/>
                <w:sz w:val="18"/>
              </w:rPr>
              <w:t xml:space="preserve"> en 1997.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158 sectores acumulados con demanda final residual negativa; 0 celdas negativas en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  <w:r>
              <w:rPr>
                <w:rFonts w:ascii="Arial" w:hAnsi="Arial" w:eastAsia="Arial"/>
                <w:b w:val="0"/>
                <w:sz w:val="18"/>
              </w:rPr>
              <w:t>; 0 sectores con valor agregado residual negativo.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Brasil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22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Todas cuadradas, alineadas, no negativas y con residuales de precisión numérica.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337 sectores acumulados con demanda final residual negativa; 4 sectores acumulados con valor agregado residual negativo, concentrados en 2011-2014.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México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Todas las matrices pasan las identidades principales; residuales de Leontief y Ghosh en magnitud de máquina.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4 sectores acumulados con demanda final residual negativa; 0 celdas negativas en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  <w:r>
              <w:rPr>
                <w:rFonts w:ascii="Arial" w:hAnsi="Arial" w:eastAsia="Arial"/>
                <w:b w:val="0"/>
                <w:sz w:val="18"/>
              </w:rPr>
              <w:t>; 0 sectores con valor agregado residual negativo.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Uruguay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2016 pasa todas las pruebas. 2017 mantiene cuadratura, etiquetas, Leontief y Ghosh.</w:t>
            </w:r>
          </w:p>
        </w:tc>
        <w:tc>
          <w:tcPr>
            <w:tcW w:type="dxa" w:w="2484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Uruguay 2017 tiene 47 celdas negativas en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Z</w:t>
            </w:r>
            <w:r>
              <w:rPr>
                <w:rFonts w:ascii="Arial" w:hAnsi="Arial" w:eastAsia="Arial"/>
                <w:b w:val="0"/>
                <w:sz w:val="18"/>
              </w:rPr>
              <w:t>; 19 sectores acumulados con demanda final residual negativa; 0 sectores con valor agregado residual negativo.</w:t>
            </w:r>
          </w:p>
        </w:tc>
      </w:tr>
    </w:tbl>
    <w:p/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Resumen global: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34 matrices revisadas.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34 matrices cuadradas.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>34 matrices con etiquetas alineadas.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33 matrices con no negatividad completa en </w:t>
      </w:r>
      <w:r>
        <w:rPr>
          <w:rFonts w:ascii="Consolas" w:hAnsi="Consolas" w:eastAsia="Consolas"/>
          <w:b w:val="0"/>
          <w:color w:val="1F4E79"/>
          <w:sz w:val="18"/>
        </w:rPr>
        <w:t>Z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A</w:t>
      </w:r>
      <w:r>
        <w:rPr>
          <w:rFonts w:ascii="Arial" w:hAnsi="Arial" w:eastAsia="Arial"/>
          <w:b w:val="0"/>
          <w:sz w:val="21"/>
        </w:rPr>
        <w:t xml:space="preserve"> y </w:t>
      </w:r>
      <w:r>
        <w:rPr>
          <w:rFonts w:ascii="Consolas" w:hAnsi="Consolas" w:eastAsia="Consolas"/>
          <w:b w:val="0"/>
          <w:color w:val="1F4E79"/>
          <w:sz w:val="18"/>
        </w:rPr>
        <w:t>g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47 celdas negativas en </w:t>
      </w:r>
      <w:r>
        <w:rPr>
          <w:rFonts w:ascii="Consolas" w:hAnsi="Consolas" w:eastAsia="Consolas"/>
          <w:b w:val="0"/>
          <w:color w:val="1F4E79"/>
          <w:sz w:val="18"/>
        </w:rPr>
        <w:t>Z</w:t>
      </w:r>
      <w:r>
        <w:rPr>
          <w:rFonts w:ascii="Arial" w:hAnsi="Arial" w:eastAsia="Arial"/>
          <w:b w:val="0"/>
          <w:sz w:val="21"/>
        </w:rPr>
        <w:t>, todas asociadas a Uruguay 2017.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Máximo residual global de </w:t>
      </w:r>
      <w:r>
        <w:rPr>
          <w:rFonts w:ascii="Consolas" w:hAnsi="Consolas" w:eastAsia="Consolas"/>
          <w:b w:val="0"/>
          <w:color w:val="1F4E79"/>
          <w:sz w:val="18"/>
        </w:rPr>
        <w:t>A - Z/g</w:t>
      </w:r>
      <w:r>
        <w:rPr>
          <w:rFonts w:ascii="Arial" w:hAnsi="Arial" w:eastAsia="Arial"/>
          <w:b w:val="0"/>
          <w:sz w:val="21"/>
        </w:rPr>
        <w:t xml:space="preserve">: </w:t>
      </w:r>
      <w:r>
        <w:rPr>
          <w:rFonts w:ascii="Consolas" w:hAnsi="Consolas" w:eastAsia="Consolas"/>
          <w:b w:val="0"/>
          <w:color w:val="1F4E79"/>
          <w:sz w:val="18"/>
        </w:rPr>
        <w:t>6.91e-04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Máximo residual global de Leontief: </w:t>
      </w:r>
      <w:r>
        <w:rPr>
          <w:rFonts w:ascii="Consolas" w:hAnsi="Consolas" w:eastAsia="Consolas"/>
          <w:b w:val="0"/>
          <w:color w:val="1F4E79"/>
          <w:sz w:val="18"/>
        </w:rPr>
        <w:t>9.86e-04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 w:val="0"/>
          <w:sz w:val="21"/>
        </w:rPr>
        <w:t xml:space="preserve">Máximo residual global de Ghosh: </w:t>
      </w:r>
      <w:r>
        <w:rPr>
          <w:rFonts w:ascii="Consolas" w:hAnsi="Consolas" w:eastAsia="Consolas"/>
          <w:b w:val="0"/>
          <w:color w:val="1F4E79"/>
          <w:sz w:val="18"/>
        </w:rPr>
        <w:t>2.11e-15</w:t>
      </w:r>
      <w:r>
        <w:rPr>
          <w:rFonts w:ascii="Arial" w:hAnsi="Arial" w:eastAsia="Arial"/>
          <w:b w:val="0"/>
          <w:sz w:val="21"/>
        </w:rPr>
        <w:t>.</w:t>
      </w:r>
    </w:p>
    <w:p>
      <w:pPr>
        <w:pStyle w:val="Heading1"/>
        <w:spacing w:before="200" w:after="80"/>
      </w:pPr>
      <w:r>
        <w:t>10. Avances concretos logrados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Los avances del proyecto pueden resumirse en siete bloques: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/>
          <w:sz w:val="21"/>
        </w:rPr>
        <w:t>Consolidación de histórico:</w:t>
      </w:r>
      <w:r>
        <w:rPr>
          <w:rFonts w:ascii="Arial" w:hAnsi="Arial" w:eastAsia="Arial"/>
          <w:b w:val="0"/>
          <w:sz w:val="21"/>
        </w:rPr>
        <w:t xml:space="preserve"> se amplió el inventario inicial y se incorporaron nuevas matrices oficiales, incluyendo Argentina 1997 y México 2003.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/>
          <w:sz w:val="21"/>
        </w:rPr>
        <w:t>Brasil completo:</w:t>
      </w:r>
      <w:r>
        <w:rPr>
          <w:rFonts w:ascii="Arial" w:hAnsi="Arial" w:eastAsia="Arial"/>
          <w:b w:val="0"/>
          <w:sz w:val="21"/>
        </w:rPr>
        <w:t xml:space="preserve"> se integró una serie continua 2000-2021 con archivos país-año y consolidado.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/>
          <w:sz w:val="21"/>
        </w:rPr>
        <w:t>Repositorio por país y año:</w:t>
      </w:r>
      <w:r>
        <w:rPr>
          <w:rFonts w:ascii="Arial" w:hAnsi="Arial" w:eastAsia="Arial"/>
          <w:b w:val="0"/>
          <w:sz w:val="21"/>
        </w:rPr>
        <w:t xml:space="preserve"> se generaron 34 Excel individuales con estructura homogénea.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/>
          <w:sz w:val="21"/>
        </w:rPr>
        <w:t>Validación matemática:</w:t>
      </w:r>
      <w:r>
        <w:rPr>
          <w:rFonts w:ascii="Arial" w:hAnsi="Arial" w:eastAsia="Arial"/>
          <w:b w:val="0"/>
          <w:sz w:val="21"/>
        </w:rPr>
        <w:t xml:space="preserve"> se diseñaron y aplicaron pruebas reproducibles sobre estructura, etiquetas, no negatividad, Leontief, Ghosh y cierres sectoriales.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/>
          <w:sz w:val="21"/>
        </w:rPr>
        <w:t>Trazabilidad de fuentes:</w:t>
      </w:r>
      <w:r>
        <w:rPr>
          <w:rFonts w:ascii="Arial" w:hAnsi="Arial" w:eastAsia="Arial"/>
          <w:b w:val="0"/>
          <w:sz w:val="21"/>
        </w:rPr>
        <w:t xml:space="preserve"> se documentó qué fuentes estatales fueron revisadas, qué años se incorporaron y qué brechas permanecen.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6. </w:t>
      </w:r>
      <w:r>
        <w:rPr>
          <w:rFonts w:ascii="Arial" w:hAnsi="Arial" w:eastAsia="Arial"/>
          <w:b/>
          <w:sz w:val="21"/>
        </w:rPr>
        <w:t>Presentación técnica:</w:t>
      </w:r>
      <w:r>
        <w:rPr>
          <w:rFonts w:ascii="Arial" w:hAnsi="Arial" w:eastAsia="Arial"/>
          <w:b w:val="0"/>
          <w:sz w:val="21"/>
        </w:rPr>
        <w:t xml:space="preserve"> se actualizó la presentación HTML con cobertura, metodología, validaciones y resultados.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7. </w:t>
      </w:r>
      <w:r>
        <w:rPr>
          <w:rFonts w:ascii="Arial" w:hAnsi="Arial" w:eastAsia="Arial"/>
          <w:b/>
          <w:sz w:val="21"/>
        </w:rPr>
        <w:t>Paquete publicable:</w:t>
      </w:r>
      <w:r>
        <w:rPr>
          <w:rFonts w:ascii="Arial" w:hAnsi="Arial" w:eastAsia="Arial"/>
          <w:b w:val="0"/>
          <w:sz w:val="21"/>
        </w:rPr>
        <w:t xml:space="preserve"> se preparó un repositorio de entrega con </w:t>
      </w:r>
      <w:r>
        <w:rPr>
          <w:rFonts w:ascii="Consolas" w:hAnsi="Consolas" w:eastAsia="Consolas"/>
          <w:b w:val="0"/>
          <w:color w:val="1F4E79"/>
          <w:sz w:val="18"/>
        </w:rPr>
        <w:t>MIP/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Codigo/</w:t>
      </w:r>
      <w:r>
        <w:rPr>
          <w:rFonts w:ascii="Arial" w:hAnsi="Arial" w:eastAsia="Arial"/>
          <w:b w:val="0"/>
          <w:sz w:val="21"/>
        </w:rPr>
        <w:t>, índices, validaciones y presentación.</w:t>
      </w:r>
    </w:p>
    <w:p>
      <w:pPr>
        <w:pStyle w:val="Heading1"/>
        <w:spacing w:before="200" w:after="80"/>
      </w:pPr>
      <w:r>
        <w:t>11. Limitaciones actuales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Las principales limitaciones no invalidan el repositorio, pero deben quedar explícitas: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Comparabilidad entre fuentes:</w:t>
      </w:r>
      <w:r>
        <w:rPr>
          <w:rFonts w:ascii="Arial" w:hAnsi="Arial" w:eastAsia="Arial"/>
          <w:b w:val="0"/>
          <w:sz w:val="21"/>
        </w:rPr>
        <w:t xml:space="preserve"> no todos los países usan la misma base de precios, clasificación sectorial o año de referencia.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Brechas temporales:</w:t>
      </w:r>
      <w:r>
        <w:rPr>
          <w:rFonts w:ascii="Arial" w:hAnsi="Arial" w:eastAsia="Arial"/>
          <w:b w:val="0"/>
          <w:sz w:val="21"/>
        </w:rPr>
        <w:t xml:space="preserve"> Argentina 2005-2017, México 2023, Uruguay 2018+ y Brasil 2022+ detallado permanecen como brechas de información pública.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Uruguay 2017:</w:t>
      </w:r>
      <w:r>
        <w:rPr>
          <w:rFonts w:ascii="Arial" w:hAnsi="Arial" w:eastAsia="Arial"/>
          <w:b w:val="0"/>
          <w:sz w:val="21"/>
        </w:rPr>
        <w:t xml:space="preserve"> la matriz convertida desde COU conserva 47 celdas negativas en </w:t>
      </w:r>
      <w:r>
        <w:rPr>
          <w:rFonts w:ascii="Consolas" w:hAnsi="Consolas" w:eastAsia="Consolas"/>
          <w:b w:val="0"/>
          <w:color w:val="1F4E79"/>
          <w:sz w:val="18"/>
        </w:rPr>
        <w:t>Z</w:t>
      </w:r>
      <w:r>
        <w:rPr>
          <w:rFonts w:ascii="Arial" w:hAnsi="Arial" w:eastAsia="Arial"/>
          <w:b w:val="0"/>
          <w:sz w:val="21"/>
        </w:rPr>
        <w:t>; se recomienda revisar tratamiento de negativos antes de análisis económico sensible.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Demanda final residual:</w:t>
      </w:r>
      <w:r>
        <w:rPr>
          <w:rFonts w:ascii="Arial" w:hAnsi="Arial" w:eastAsia="Arial"/>
          <w:b w:val="0"/>
          <w:sz w:val="21"/>
        </w:rPr>
        <w:t xml:space="preserve"> en varios años aparecen sectores con demanda final residual negativa. Esto es una alerta de cierre y no una falla algebraica de Leontief/Ghosh.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Extensión ambiental pendiente:</w:t>
      </w:r>
      <w:r>
        <w:rPr>
          <w:rFonts w:ascii="Arial" w:hAnsi="Arial" w:eastAsia="Arial"/>
          <w:b w:val="0"/>
          <w:sz w:val="21"/>
        </w:rPr>
        <w:t xml:space="preserve"> todavía no se integran matrices de emisiones, intensidades ambientales ni huella de carbono.</w:t>
      </w:r>
    </w:p>
    <w:p>
      <w:pPr>
        <w:pStyle w:val="ListBullet"/>
        <w:spacing w:after="60" w:line="259" w:lineRule="auto"/>
      </w:pPr>
      <w:r>
        <w:rPr>
          <w:rFonts w:ascii="Arial" w:hAnsi="Arial" w:eastAsia="Arial"/>
          <w:b/>
          <w:sz w:val="21"/>
        </w:rPr>
        <w:t>Homologación sectorial:</w:t>
      </w:r>
      <w:r>
        <w:rPr>
          <w:rFonts w:ascii="Arial" w:hAnsi="Arial" w:eastAsia="Arial"/>
          <w:b w:val="0"/>
          <w:sz w:val="21"/>
        </w:rPr>
        <w:t xml:space="preserve"> no se ha construido una tabla puente única para comparar todos los países al mismo nivel sectorial.</w:t>
      </w:r>
    </w:p>
    <w:p>
      <w:r>
        <w:br w:type="page"/>
      </w:r>
    </w:p>
    <w:p>
      <w:pPr>
        <w:pStyle w:val="Heading1"/>
        <w:spacing w:before="200" w:after="80"/>
      </w:pPr>
      <w:r>
        <w:t>12. Siguientes pasos recomendados</w:t>
      </w:r>
    </w:p>
    <w:p>
      <w:pPr>
        <w:pStyle w:val="Heading2"/>
        <w:spacing w:before="160" w:after="60"/>
      </w:pPr>
      <w:r>
        <w:t>12.1. Cierre del repositorio económico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 xml:space="preserve">Incorporar al repositorio publicado el archivo </w:t>
      </w:r>
      <w:r>
        <w:rPr>
          <w:rFonts w:ascii="Consolas" w:hAnsi="Consolas" w:eastAsia="Consolas"/>
          <w:b w:val="0"/>
          <w:color w:val="1F4E79"/>
          <w:sz w:val="18"/>
        </w:rPr>
        <w:t>validacion_detallada_mip.xlsx</w:t>
      </w:r>
      <w:r>
        <w:rPr>
          <w:rFonts w:ascii="Arial" w:hAnsi="Arial" w:eastAsia="Arial"/>
          <w:b w:val="0"/>
          <w:sz w:val="21"/>
        </w:rPr>
        <w:t>, ya que la presentación lo referencia.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 xml:space="preserve">Actualizar el </w:t>
      </w:r>
      <w:r>
        <w:rPr>
          <w:rFonts w:ascii="Consolas" w:hAnsi="Consolas" w:eastAsia="Consolas"/>
          <w:b w:val="0"/>
          <w:color w:val="1F4E79"/>
          <w:sz w:val="18"/>
        </w:rPr>
        <w:t>README.md</w:t>
      </w:r>
      <w:r>
        <w:rPr>
          <w:rFonts w:ascii="Arial" w:hAnsi="Arial" w:eastAsia="Arial"/>
          <w:b w:val="0"/>
          <w:sz w:val="21"/>
        </w:rPr>
        <w:t xml:space="preserve"> del repositorio para explicar claramente la estructura </w:t>
      </w:r>
      <w:r>
        <w:rPr>
          <w:rFonts w:ascii="Consolas" w:hAnsi="Consolas" w:eastAsia="Consolas"/>
          <w:b w:val="0"/>
          <w:color w:val="1F4E79"/>
          <w:sz w:val="18"/>
        </w:rPr>
        <w:t>MIP/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Codigo/</w:t>
      </w:r>
      <w:r>
        <w:rPr>
          <w:rFonts w:ascii="Arial" w:hAnsi="Arial" w:eastAsia="Arial"/>
          <w:b w:val="0"/>
          <w:sz w:val="21"/>
        </w:rPr>
        <w:t>, índices y validaciones.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>Crear una tabla de homologación sectorial mínima entre países para análisis comparativo.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 w:val="0"/>
          <w:sz w:val="21"/>
        </w:rPr>
        <w:t>Separar las validaciones en dos categorías: estructurales y diagnósticas, para evitar que alertas de cierre se interpreten como errores bloqueantes.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 w:val="0"/>
          <w:sz w:val="21"/>
        </w:rPr>
        <w:t>Documentar explícitamente el caso Uruguay 2017 y decidir si se conserva, ajusta o entrega como matriz experimental.</w:t>
      </w:r>
    </w:p>
    <w:p>
      <w:pPr>
        <w:pStyle w:val="Heading2"/>
        <w:spacing w:before="160" w:after="60"/>
      </w:pPr>
      <w:r>
        <w:t>12.2. Ampliación de fuentes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>Solicitar a INDEC/CEPAL información no pública o tabulados puente para Argentina 2005-2017.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>Verificar periódicamente si INEGI publica MIP 2023 en formato descargable comparable.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>Revisar actualizaciones del BCU para Uruguay 2018+.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 w:val="0"/>
          <w:sz w:val="21"/>
        </w:rPr>
        <w:t>Explorar si Brasil 2022+ puede obtenerse a nivel compatible con la serie 2000-2021.</w:t>
      </w:r>
    </w:p>
    <w:p>
      <w:pPr>
        <w:pStyle w:val="Heading2"/>
        <w:spacing w:before="160" w:after="60"/>
      </w:pPr>
      <w:r>
        <w:t>12.3. Extensión ambiental de la MIP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Siguiendo el documento base, la siguiente fase debería construir una MIP extendida ambientalmente. Para cada país y año seleccionado se requiere: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>Definir los indicadores ambientales: CO2, CH4, N2O, GEI en CO2eq u otros indicadores disponibles.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>Conseguir matrices o vectores de emisiones por sector económico.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>Homologar sectores ambientales con sectores MIP.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 w:val="0"/>
          <w:sz w:val="21"/>
        </w:rPr>
        <w:t xml:space="preserve">Construir la matriz de presiones ambientales absolutas </w:t>
      </w:r>
      <w:r>
        <w:rPr>
          <w:rFonts w:ascii="Consolas" w:hAnsi="Consolas" w:eastAsia="Consolas"/>
          <w:b w:val="0"/>
          <w:color w:val="1F4E79"/>
          <w:sz w:val="18"/>
        </w:rPr>
        <w:t>E</w:t>
      </w:r>
      <w:r>
        <w:rPr>
          <w:rFonts w:ascii="Arial" w:hAnsi="Arial" w:eastAsia="Arial"/>
          <w:b w:val="0"/>
          <w:sz w:val="21"/>
        </w:rPr>
        <w:t>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 w:val="0"/>
          <w:sz w:val="21"/>
        </w:rPr>
        <w:t>Calcular intensidades directas: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D_env = E * diag(g)^-1</w:t>
              <w:br/>
            </w:r>
          </w:p>
        </w:tc>
      </w:tr>
    </w:tbl>
    <w:p/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6. </w:t>
      </w:r>
      <w:r>
        <w:rPr>
          <w:rFonts w:ascii="Arial" w:hAnsi="Arial" w:eastAsia="Arial"/>
          <w:b w:val="0"/>
          <w:sz w:val="21"/>
        </w:rPr>
        <w:t>Calcular multiplicadores ambientales de demanda: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M_env = D_env * L</w:t>
              <w:br/>
            </w:r>
          </w:p>
        </w:tc>
      </w:tr>
    </w:tbl>
    <w:p/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7. </w:t>
      </w:r>
      <w:r>
        <w:rPr>
          <w:rFonts w:ascii="Arial" w:hAnsi="Arial" w:eastAsia="Arial"/>
          <w:b w:val="0"/>
          <w:sz w:val="21"/>
        </w:rPr>
        <w:t>Estimar huella de carbono basada en consumo: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7F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Consolas" w:hAnsi="Consolas" w:eastAsia="Consolas"/>
                <w:b w:val="0"/>
                <w:color w:val="404040"/>
                <w:sz w:val="18"/>
              </w:rPr>
              <w:t>HC = m * y</w:t>
              <w:br/>
            </w:r>
          </w:p>
        </w:tc>
      </w:tr>
    </w:tbl>
    <w:p/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8. </w:t>
      </w:r>
      <w:r>
        <w:rPr>
          <w:rFonts w:ascii="Arial" w:hAnsi="Arial" w:eastAsia="Arial"/>
          <w:b w:val="0"/>
          <w:sz w:val="21"/>
        </w:rPr>
        <w:t>Separar, si la fuente lo permite, huella por hogares, gobierno, inversión y exportaciones.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9. </w:t>
      </w:r>
      <w:r>
        <w:rPr>
          <w:rFonts w:ascii="Arial" w:hAnsi="Arial" w:eastAsia="Arial"/>
          <w:b w:val="0"/>
          <w:sz w:val="21"/>
        </w:rPr>
        <w:t>Comparar huella de productor y consumidor cuando existan datos de comercio e importaciones ambientales.</w:t>
      </w:r>
    </w:p>
    <w:p>
      <w:pPr>
        <w:pStyle w:val="Heading2"/>
        <w:spacing w:before="160" w:after="60"/>
      </w:pPr>
      <w:r>
        <w:t>12.4. Análisis temporal y comparativo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>Construir series de multiplicadores por país.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>Identificar sectores con mayores encadenamientos hacia atrás y hacia adelante.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>Comparar cambios pre y post pandemia en países con años 2019-2021.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 w:val="0"/>
          <w:sz w:val="21"/>
        </w:rPr>
        <w:t>Aplicar descomposición estructural (SDA) cuando haya matrices comparables en el tiempo.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 w:val="0"/>
          <w:sz w:val="21"/>
        </w:rPr>
        <w:t>Construir mapas de sectores clave: altos multiplicadores económicos, altas intensidades ambientales y alta relevancia en demanda final.</w:t>
      </w:r>
    </w:p>
    <w:p>
      <w:pPr>
        <w:pStyle w:val="Heading2"/>
        <w:spacing w:before="160" w:after="60"/>
      </w:pPr>
      <w:r>
        <w:t>12.5. Difusión y mantenimiento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1. </w:t>
      </w:r>
      <w:r>
        <w:rPr>
          <w:rFonts w:ascii="Arial" w:hAnsi="Arial" w:eastAsia="Arial"/>
          <w:b w:val="0"/>
          <w:sz w:val="21"/>
        </w:rPr>
        <w:t>Publicar una versión metodológica en Word y Markdown.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2. </w:t>
      </w:r>
      <w:r>
        <w:rPr>
          <w:rFonts w:ascii="Arial" w:hAnsi="Arial" w:eastAsia="Arial"/>
          <w:b w:val="0"/>
          <w:sz w:val="21"/>
        </w:rPr>
        <w:t>Agregar una guía de uso para usuarios no técnicos.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3. </w:t>
      </w:r>
      <w:r>
        <w:rPr>
          <w:rFonts w:ascii="Arial" w:hAnsi="Arial" w:eastAsia="Arial"/>
          <w:b w:val="0"/>
          <w:sz w:val="21"/>
        </w:rPr>
        <w:t xml:space="preserve">Versionar el repositorio con etiquetas: </w:t>
      </w:r>
      <w:r>
        <w:rPr>
          <w:rFonts w:ascii="Consolas" w:hAnsi="Consolas" w:eastAsia="Consolas"/>
          <w:b w:val="0"/>
          <w:color w:val="1F4E79"/>
          <w:sz w:val="18"/>
        </w:rPr>
        <w:t>v1.0-economico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v1.1-validaciones</w:t>
      </w:r>
      <w:r>
        <w:rPr>
          <w:rFonts w:ascii="Arial" w:hAnsi="Arial" w:eastAsia="Arial"/>
          <w:b w:val="0"/>
          <w:sz w:val="21"/>
        </w:rPr>
        <w:t xml:space="preserve">, </w:t>
      </w:r>
      <w:r>
        <w:rPr>
          <w:rFonts w:ascii="Consolas" w:hAnsi="Consolas" w:eastAsia="Consolas"/>
          <w:b w:val="0"/>
          <w:color w:val="1F4E79"/>
          <w:sz w:val="18"/>
        </w:rPr>
        <w:t>v2.0-ambiental</w:t>
      </w:r>
      <w:r>
        <w:rPr>
          <w:rFonts w:ascii="Arial" w:hAnsi="Arial" w:eastAsia="Arial"/>
          <w:b w:val="0"/>
          <w:sz w:val="21"/>
        </w:rPr>
        <w:t>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4. </w:t>
      </w:r>
      <w:r>
        <w:rPr>
          <w:rFonts w:ascii="Arial" w:hAnsi="Arial" w:eastAsia="Arial"/>
          <w:b w:val="0"/>
          <w:sz w:val="21"/>
        </w:rPr>
        <w:t>Automatizar una prueba de consistencia que se ejecute cada vez que se agregue una nueva matriz.</w:t>
      </w:r>
    </w:p>
    <w:p>
      <w:pPr>
        <w:spacing w:after="60"/>
        <w:ind w:left="403" w:hanging="317"/>
      </w:pPr>
      <w:r>
        <w:rPr>
          <w:rFonts w:ascii="Arial" w:hAnsi="Arial" w:eastAsia="Arial"/>
          <w:b/>
          <w:sz w:val="21"/>
        </w:rPr>
        <w:t xml:space="preserve">5. </w:t>
      </w:r>
      <w:r>
        <w:rPr>
          <w:rFonts w:ascii="Arial" w:hAnsi="Arial" w:eastAsia="Arial"/>
          <w:b w:val="0"/>
          <w:sz w:val="21"/>
        </w:rPr>
        <w:t>Mantener una bitácora de fuentes revisadas y decisiones metodológicas.</w:t>
      </w:r>
    </w:p>
    <w:p>
      <w:pPr>
        <w:pStyle w:val="Heading1"/>
        <w:spacing w:before="200" w:after="80"/>
      </w:pPr>
      <w:r>
        <w:t>13. Hoja de ruta sugerida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 w:val="true"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Fase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Objetivo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Producto esperado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1. Cierre económico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Completar documentación y resolver archivos faltantes del repo publicado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 xml:space="preserve">Repositorio económico </w:t>
            </w:r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2. Homologación sectorial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Crear tabla puente entre países y fuentes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Clasificador común o tabla de correspondencia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3. Acopio ambiental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Obtener emisiones por sector y año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Base ambiental por país-año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4. Integración MIP-EA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Calcular intensidades y multiplicadores ambientales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Excel MIP-EA por país-año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5. Huella de carbono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Estimar huella por demanda final y componentes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Tablas de huella y descomposición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6. Análisis comparativo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Evaluar tendencias, sectores clave y cambios temporales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Informe técnico y presentación</w:t>
            </w:r>
          </w:p>
        </w:tc>
      </w:tr>
      <w:tr>
        <w:trPr>
          <w:cantSplit/>
        </w:trPr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7. Publicación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Preparar paquete final documentado</w:t>
            </w:r>
          </w:p>
        </w:tc>
        <w:tc>
          <w:tcPr>
            <w:tcW w:type="dxa" w:w="3312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Repositorio, documento metodológico y visualizaciones</w:t>
            </w:r>
          </w:p>
        </w:tc>
      </w:tr>
    </w:tbl>
    <w:p/>
    <w:p>
      <w:pPr>
        <w:pStyle w:val="Heading1"/>
        <w:spacing w:before="200" w:after="80"/>
      </w:pPr>
      <w:r>
        <w:t>14. Conclusión metodológica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El trabajo realizado dejó construida la base económica necesaria para avanzar hacia una MIP extendida ambientalmente. La contribución principal no es solo reunir matrices, sino convertirlas en un repositorio auditable: cada archivo contiene matrices, coeficientes, inversas, multiplicadores y validaciones.</w:t>
      </w:r>
    </w:p>
    <w:p>
      <w:pPr>
        <w:spacing w:after="120" w:line="259" w:lineRule="auto"/>
      </w:pPr>
      <w:r>
        <w:rPr>
          <w:rFonts w:ascii="Arial" w:hAnsi="Arial" w:eastAsia="Arial"/>
          <w:b w:val="0"/>
          <w:sz w:val="21"/>
        </w:rPr>
        <w:t>La metodología base del PDF proporciona el marco para la siguiente capa: emisiones, intensidades ambientales, multiplicadores de carbono y huella por demanda final. Para llegar a esa etapa con solidez, el avance actual resolvió primero la parte crítica: estructura económica, trazabilidad de fuentes, consistencia algebraica y empaquetamiento reproducible.</w:t>
      </w:r>
    </w:p>
    <w:p>
      <w:pPr>
        <w:pStyle w:val="Heading1"/>
        <w:spacing w:before="200" w:after="80"/>
      </w:pPr>
      <w:r>
        <w:t>15. Archivos relacionados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 w:val="true"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Archivo o carpeta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DDEBF7"/>
          </w:tcPr>
          <w:p>
            <w:r>
              <w:rPr>
                <w:b/>
                <w:color w:val="1F4E79"/>
              </w:rPr>
            </w:r>
            <w:r>
              <w:rPr>
                <w:rFonts w:ascii="Arial" w:hAnsi="Arial" w:eastAsia="Arial"/>
                <w:b/>
                <w:color w:val="1F4E79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output/matrices_insumo_producto/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Paquete anual país-año con 34 Excel.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output/tablas/validacion_detallada_mip.xlsx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Validación matemática por país y año.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output/tablas/validacion_matematica_mip.xlsx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Reporte agregado de validación.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FUENTES_EXTERNAS_HISTORICO.md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Trazabilidad de búsqueda de información oficial adicional.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presentacion.html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Presentación técnica del proyecto.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scripts/generar_paquete_matrices.py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  <w:shd w:fill="F7FBFD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Generación del paquete país-año.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Consolas" w:hAnsi="Consolas" w:eastAsia="Consolas"/>
                <w:b w:val="0"/>
                <w:color w:val="1F4E79"/>
                <w:sz w:val="18"/>
              </w:rPr>
              <w:t>scripts/validar_mips.py</w:t>
            </w:r>
          </w:p>
        </w:tc>
        <w:tc>
          <w:tcPr>
            <w:tcW w:type="dxa" w:w="4968"/>
            <w:vAlign w:val="center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Validaciones matemáticas reproducibles.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808080"/>
        <w:sz w:val="16"/>
      </w:rPr>
      <w:t>Repositorio MIP | Metodología, avances y siguientes pasos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6F7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