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E2698" w14:textId="77777777" w:rsidR="00115403" w:rsidRPr="003B6A56" w:rsidRDefault="003B6A56">
      <w:pPr>
        <w:jc w:val="center"/>
        <w:rPr>
          <w:b/>
          <w:bCs/>
          <w:i/>
        </w:rPr>
      </w:pPr>
      <w:proofErr w:type="spellStart"/>
      <w:r w:rsidRPr="003B6A56">
        <w:rPr>
          <w:rFonts w:asciiTheme="majorHAnsi" w:eastAsiaTheme="majorEastAsia" w:hAnsiTheme="majorHAnsi" w:cstheme="majorBidi"/>
          <w:b/>
          <w:bCs/>
          <w:spacing w:val="5"/>
          <w:kern w:val="28"/>
          <w:sz w:val="32"/>
          <w:szCs w:val="52"/>
        </w:rPr>
        <w:t>Evaluación</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comparativa</w:t>
      </w:r>
      <w:proofErr w:type="spellEnd"/>
      <w:r w:rsidRPr="003B6A56">
        <w:rPr>
          <w:rFonts w:asciiTheme="majorHAnsi" w:eastAsiaTheme="majorEastAsia" w:hAnsiTheme="majorHAnsi" w:cstheme="majorBidi"/>
          <w:b/>
          <w:bCs/>
          <w:spacing w:val="5"/>
          <w:kern w:val="28"/>
          <w:sz w:val="32"/>
          <w:szCs w:val="52"/>
        </w:rPr>
        <w:t xml:space="preserve"> de </w:t>
      </w:r>
      <w:proofErr w:type="spellStart"/>
      <w:r w:rsidRPr="003B6A56">
        <w:rPr>
          <w:rFonts w:asciiTheme="majorHAnsi" w:eastAsiaTheme="majorEastAsia" w:hAnsiTheme="majorHAnsi" w:cstheme="majorBidi"/>
          <w:b/>
          <w:bCs/>
          <w:spacing w:val="5"/>
          <w:kern w:val="28"/>
          <w:sz w:val="32"/>
          <w:szCs w:val="52"/>
        </w:rPr>
        <w:t>modelos</w:t>
      </w:r>
      <w:proofErr w:type="spellEnd"/>
      <w:r w:rsidRPr="003B6A56">
        <w:rPr>
          <w:rFonts w:asciiTheme="majorHAnsi" w:eastAsiaTheme="majorEastAsia" w:hAnsiTheme="majorHAnsi" w:cstheme="majorBidi"/>
          <w:b/>
          <w:bCs/>
          <w:spacing w:val="5"/>
          <w:kern w:val="28"/>
          <w:sz w:val="32"/>
          <w:szCs w:val="52"/>
        </w:rPr>
        <w:t xml:space="preserve"> de </w:t>
      </w:r>
      <w:proofErr w:type="spellStart"/>
      <w:r w:rsidRPr="003B6A56">
        <w:rPr>
          <w:rFonts w:asciiTheme="majorHAnsi" w:eastAsiaTheme="majorEastAsia" w:hAnsiTheme="majorHAnsi" w:cstheme="majorBidi"/>
          <w:b/>
          <w:bCs/>
          <w:spacing w:val="5"/>
          <w:kern w:val="28"/>
          <w:sz w:val="32"/>
          <w:szCs w:val="52"/>
        </w:rPr>
        <w:t>lenguaje</w:t>
      </w:r>
      <w:proofErr w:type="spellEnd"/>
      <w:r w:rsidRPr="003B6A56">
        <w:rPr>
          <w:rFonts w:asciiTheme="majorHAnsi" w:eastAsiaTheme="majorEastAsia" w:hAnsiTheme="majorHAnsi" w:cstheme="majorBidi"/>
          <w:b/>
          <w:bCs/>
          <w:spacing w:val="5"/>
          <w:kern w:val="28"/>
          <w:sz w:val="32"/>
          <w:szCs w:val="52"/>
        </w:rPr>
        <w:t xml:space="preserve"> para la </w:t>
      </w:r>
      <w:proofErr w:type="spellStart"/>
      <w:r w:rsidRPr="003B6A56">
        <w:rPr>
          <w:rFonts w:asciiTheme="majorHAnsi" w:eastAsiaTheme="majorEastAsia" w:hAnsiTheme="majorHAnsi" w:cstheme="majorBidi"/>
          <w:b/>
          <w:bCs/>
          <w:spacing w:val="5"/>
          <w:kern w:val="28"/>
          <w:sz w:val="32"/>
          <w:szCs w:val="52"/>
        </w:rPr>
        <w:t>generación</w:t>
      </w:r>
      <w:proofErr w:type="spellEnd"/>
      <w:r w:rsidRPr="003B6A56">
        <w:rPr>
          <w:rFonts w:asciiTheme="majorHAnsi" w:eastAsiaTheme="majorEastAsia" w:hAnsiTheme="majorHAnsi" w:cstheme="majorBidi"/>
          <w:b/>
          <w:bCs/>
          <w:spacing w:val="5"/>
          <w:kern w:val="28"/>
          <w:sz w:val="32"/>
          <w:szCs w:val="52"/>
        </w:rPr>
        <w:t xml:space="preserve"> de </w:t>
      </w:r>
      <w:proofErr w:type="spellStart"/>
      <w:r w:rsidRPr="003B6A56">
        <w:rPr>
          <w:rFonts w:asciiTheme="majorHAnsi" w:eastAsiaTheme="majorEastAsia" w:hAnsiTheme="majorHAnsi" w:cstheme="majorBidi"/>
          <w:b/>
          <w:bCs/>
          <w:spacing w:val="5"/>
          <w:kern w:val="28"/>
          <w:sz w:val="32"/>
          <w:szCs w:val="52"/>
        </w:rPr>
        <w:t>narrativas</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educativas</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estructuradas</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en</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Cuentos</w:t>
      </w:r>
      <w:proofErr w:type="spellEnd"/>
      <w:r w:rsidRPr="003B6A56">
        <w:rPr>
          <w:rFonts w:asciiTheme="majorHAnsi" w:eastAsiaTheme="majorEastAsia" w:hAnsiTheme="majorHAnsi" w:cstheme="majorBidi"/>
          <w:b/>
          <w:bCs/>
          <w:spacing w:val="5"/>
          <w:kern w:val="28"/>
          <w:sz w:val="32"/>
          <w:szCs w:val="52"/>
        </w:rPr>
        <w:t xml:space="preserve"> </w:t>
      </w:r>
      <w:proofErr w:type="spellStart"/>
      <w:r w:rsidRPr="003B6A56">
        <w:rPr>
          <w:rFonts w:asciiTheme="majorHAnsi" w:eastAsiaTheme="majorEastAsia" w:hAnsiTheme="majorHAnsi" w:cstheme="majorBidi"/>
          <w:b/>
          <w:bCs/>
          <w:spacing w:val="5"/>
          <w:kern w:val="28"/>
          <w:sz w:val="32"/>
          <w:szCs w:val="52"/>
        </w:rPr>
        <w:t>Mágicos</w:t>
      </w:r>
      <w:proofErr w:type="spellEnd"/>
    </w:p>
    <w:p w14:paraId="42BB97F8" w14:textId="77777777" w:rsidR="002C2EB6" w:rsidRPr="00115403" w:rsidRDefault="002B22F4">
      <w:pPr>
        <w:jc w:val="center"/>
      </w:pPr>
      <w:r w:rsidRPr="00115403">
        <w:t>Romulo Jeampierre Zagaceta Vasquez | Universidad Católica Sedes Sapientiae | Octubre de 2026</w:t>
      </w:r>
    </w:p>
    <w:p w14:paraId="31C1DD96" w14:textId="77777777" w:rsidR="002C2EB6" w:rsidRPr="00115403" w:rsidRDefault="002B22F4">
      <w:pPr>
        <w:pStyle w:val="Ttulo1"/>
        <w:rPr>
          <w:color w:val="auto"/>
        </w:rPr>
      </w:pPr>
      <w:proofErr w:type="spellStart"/>
      <w:r w:rsidRPr="00115403">
        <w:rPr>
          <w:color w:val="auto"/>
        </w:rPr>
        <w:t>Resumen</w:t>
      </w:r>
      <w:proofErr w:type="spellEnd"/>
    </w:p>
    <w:p w14:paraId="755E8AD2" w14:textId="77777777" w:rsidR="002C2EB6" w:rsidRPr="00115403" w:rsidRDefault="002B22F4">
      <w:r w:rsidRPr="00115403">
        <w:t>Se presenta una evaluación tecnológica de tres modelos de lenguaje para generar narrativas infantiles estructuradas dentro de Cuentos Mágicos: Gemini 3.8 Flash (Google), Qwen 3.8 27B (Groq) y GPT-OSS 20B (Groq). El protocolo inicial define 12 casos sintéticos, cuatro operaciones y tres repeticiones por candidato (108 solicitudes base previstas). Una primera ejecución ampliada distinta comprendió 150 operaciones lógicas, de las que se completaron 65 mediante 84 solicitudes HTTP efectivas. Gemini completó 12/50, Qwen 7/50 y GPT-OSS 46/50 operaciones; estos resultados describen disponibilidad y ejecución condicionadas por cuotas y dependencias, no calidad narrativa comparada. El instrumento establece compatibilidad estructural (C1, 25 %), fidelidad narrativa (C2, 25 %), restricciones educativas (C3, 20 %), latencia (C4, 20 %) y costo por original aceptable (C5, 10 %). Como aún faltan revisión humana, cobertura comparable y costos completos, no se calcula un ganador. La contribución consiste en un diseño reproducible y evidencia preliminar de restricciones reales del servicio.</w:t>
      </w:r>
    </w:p>
    <w:p w14:paraId="4700977E" w14:textId="77777777" w:rsidR="002C2EB6" w:rsidRPr="00115403" w:rsidRDefault="002B22F4">
      <w:pPr>
        <w:rPr>
          <w:b/>
          <w:bCs/>
        </w:rPr>
      </w:pPr>
      <w:proofErr w:type="gramStart"/>
      <w:r w:rsidRPr="00115403">
        <w:rPr>
          <w:b/>
          <w:bCs/>
        </w:rPr>
        <w:t>Palabras</w:t>
      </w:r>
      <w:proofErr w:type="gramEnd"/>
      <w:r w:rsidRPr="00115403">
        <w:rPr>
          <w:b/>
          <w:bCs/>
        </w:rPr>
        <w:t xml:space="preserve"> clave: inteligencia artificial generativa; comparación de modelos; narrativa educativa; gamificación; reproducibilidad; aplicación de escritorio.</w:t>
      </w:r>
    </w:p>
    <w:p w14:paraId="7CC0AAB1" w14:textId="77777777" w:rsidR="002C2EB6" w:rsidRPr="00115403" w:rsidRDefault="002B22F4">
      <w:pPr>
        <w:pStyle w:val="Ttulo1"/>
        <w:rPr>
          <w:color w:val="auto"/>
        </w:rPr>
      </w:pPr>
      <w:r w:rsidRPr="00115403">
        <w:rPr>
          <w:color w:val="auto"/>
        </w:rPr>
        <w:t>Abstract</w:t>
      </w:r>
    </w:p>
    <w:p w14:paraId="0661340D" w14:textId="77777777" w:rsidR="002C2EB6" w:rsidRPr="00115403" w:rsidRDefault="002B22F4">
      <w:r w:rsidRPr="00115403">
        <w:t>This paper presents a technological evaluation of three language models for structured children’s storytelling in Cuentos Mágicos: Gemini 3.8 Flash (Google), Qwen 3.8 27B (Groq), and GPT-OSS 20B (Groq). The original protocol specifies 12 synthetic cases, four operations, and three repetitions per candidate (108 planned baseline requests). A distinct first expanded run comprised 150 logical operations, 65 of which completed, with 84 actual HTTP requests. Completion counts were 12/50 for Gemini, 7/50 for Qwen, and 46/50 for GPT-OSS. These figures describe constrained operational completion, not comparative narrative quality, because quotas and dependent-operation failures affected coverage. Five predefined criteria address structural compliance (C1, 25%), narrative fidelity (C2, 25%), educational restrictions (C3, 20%), latency (C4, 20%), and cost per acceptable original (C5, 10%). Blinded human review, comparable coverage, and full cost records remain incomplete; no winner is declared. The contribution is a reproducible design with preliminary evidence of practical API limitations.</w:t>
      </w:r>
    </w:p>
    <w:p w14:paraId="5A1691FD" w14:textId="77777777" w:rsidR="002C2EB6" w:rsidRPr="00115403" w:rsidRDefault="002B22F4">
      <w:pPr>
        <w:rPr>
          <w:b/>
          <w:bCs/>
        </w:rPr>
      </w:pPr>
      <w:r w:rsidRPr="00115403">
        <w:rPr>
          <w:b/>
          <w:bCs/>
        </w:rPr>
        <w:t>Keywords: generative artificial intelligence; language model comparison; educational storytelling; gamification; reproducibility; desktop application.</w:t>
      </w:r>
    </w:p>
    <w:p w14:paraId="2EEB8AC0" w14:textId="77777777" w:rsidR="00D02696" w:rsidRDefault="00D02696">
      <w:pPr>
        <w:pStyle w:val="Ttulo1"/>
        <w:rPr>
          <w:color w:val="auto"/>
        </w:rPr>
      </w:pPr>
    </w:p>
    <w:p w14:paraId="364F02B3" w14:textId="77777777" w:rsidR="00115403" w:rsidRDefault="00115403" w:rsidP="00115403"/>
    <w:p w14:paraId="1A282F18" w14:textId="77777777" w:rsidR="001F042D" w:rsidRDefault="001F042D" w:rsidP="00115403"/>
    <w:p w14:paraId="1D36BA8C" w14:textId="4FF8E2F8" w:rsidR="001F042D" w:rsidRPr="00115403" w:rsidRDefault="001F042D" w:rsidP="00115403">
      <w:pPr>
        <w:sectPr w:rsidR="001F042D" w:rsidRPr="00115403" w:rsidSect="00034616">
          <w:footerReference w:type="default" r:id="rId8"/>
          <w:pgSz w:w="12240" w:h="15840"/>
          <w:pgMar w:top="1224" w:right="1368" w:bottom="1224" w:left="1368" w:header="720" w:footer="720" w:gutter="0"/>
          <w:cols w:space="720"/>
          <w:docGrid w:linePitch="360"/>
        </w:sectPr>
      </w:pPr>
    </w:p>
    <w:p w14:paraId="579F5BAF" w14:textId="77777777" w:rsidR="002C2EB6" w:rsidRPr="00115403" w:rsidRDefault="002B22F4">
      <w:pPr>
        <w:pStyle w:val="Ttulo1"/>
        <w:rPr>
          <w:color w:val="auto"/>
        </w:rPr>
      </w:pPr>
      <w:r w:rsidRPr="00115403">
        <w:rPr>
          <w:color w:val="auto"/>
        </w:rPr>
        <w:lastRenderedPageBreak/>
        <w:t>1. Introducción</w:t>
      </w:r>
    </w:p>
    <w:p w14:paraId="178D25B6" w14:textId="77777777" w:rsidR="002C2EB6" w:rsidRPr="00115403" w:rsidRDefault="002B22F4">
      <w:r w:rsidRPr="00115403">
        <w:t>La comprensión lectora involucra identificar información explícita, producir inferencias y valorar críticamente el contenido escrito. En el contexto peruano, los resultados de PISA 2022 indicaron que alrededor del 50 % de estudiantes de 15 años alcanzó al menos el nivel 2 en lectura, frente al 74 % de referencia de países de la OCDE (Organización para la Cooperación y el Desarrollo Económicos [OCDE], 2023, p. 3, sección “What students know and can do in reading”). Esas cifras no describen directamente a los escolares de cuarto a sexto grado del presente caso, pero contextualizan la necesidad de estudiar recursos complementarios de lectura. La gamificación educativa incorpora mecanismos como objetivos, elección, narrativa y retroalimentación que deben asociarse con el propósito formativo y con la población atendida (Krath et al., 2021; Hong et al., 2024).</w:t>
      </w:r>
    </w:p>
    <w:p w14:paraId="1CEC887E" w14:textId="77777777" w:rsidR="002C2EB6" w:rsidRPr="00115403" w:rsidRDefault="002B22F4">
      <w:r w:rsidRPr="00115403">
        <w:t>La literatura ha evaluado experiencias de lectura gamificada en distintas poblaciones. Kaban (2021) describió cambios de puntuaciones lectoras en grupos con lectura digital gamificada, aunque sus resultados no bastan para establecer superioridad sobre la lectura impresa. AlZuhair y Alkhuzaim (2022) comunicaron mejoras dentro de un grupo experimental, pero no diferencias significativas entre los grupos experimental y control en el postest. Cattoni et al. (2024) identificaron cambios de velocidad y precisión lectora sin superioridad estadísticamente significativa frente a actividades en papel; estas medidas tampoco equivalen a comprensión literal, inferencial y crítico-reflexiva. En Perú, Santos Lescano (2023) evaluó una solución web gamificada con estudiantes de primaria, mediante indicadores derivados de valoraciones docentes, no de un test objetivo respondido por los niños. Tales antecedentes fundamentan el escenario educativo, pero no resuelven la selección del componente generativo textual.</w:t>
      </w:r>
    </w:p>
    <w:p w14:paraId="393D074A" w14:textId="77777777" w:rsidR="002C2EB6" w:rsidRPr="00115403" w:rsidRDefault="002B22F4">
      <w:r w:rsidRPr="00115403">
        <w:t xml:space="preserve">Sin embargo, los estudios educativos citados no establecen qué API textual satisface de forma </w:t>
      </w:r>
      <w:r w:rsidRPr="00115403">
        <w:t>reproducible las restricciones de una narrativa interactiva dirigida a primaria. En este trabajo, la brecha tecnológica se formula como la ausencia de una comparación controlada entre tres modelos, doce casos sintéticos y un contrato común de análisis, inicio, continuación y cierre, con mediciones separadas de estructura, fidelidad, adecuación, tiempo y costo. No se deduce de esta revisión que no exista ningún estudio comparable en toda la literatura: la delimitación corresponde a las fuentes examinadas y al caso de Cuentos Mágicos.</w:t>
      </w:r>
    </w:p>
    <w:p w14:paraId="754D8097" w14:textId="77777777" w:rsidR="002C2EB6" w:rsidRPr="00115403" w:rsidRDefault="002B22F4">
      <w:r w:rsidRPr="00115403">
        <w:t>Cuentos Mágicos es un prototipo Flutter/Dart orientado a Windows que organiza cuentos, decisiones y actividades de comprensión; emplea Supabase/PostgreSQL para persistencia y componentes independientes para imagen y voz. El experimento aísla únicamente el generador textual: la extracción del PDF ocurre antes del ensayo, el dibujo no es una entrada textual multimodal y ninguna salida de un modelo se utiliza como entrada de otro. Los candidatos y sus identificadores son gemini-3.8-flash mediante Google Gemini API; qwen/qwen3.8-27b mediante GroqCloud, identificado como Preview; y openai/gpt-oss-20b mediante GroqCloud (Google, 2026; Groq, 2026a, 2026b).</w:t>
      </w:r>
    </w:p>
    <w:p w14:paraId="394B1179" w14:textId="77777777" w:rsidR="002C2EB6" w:rsidRPr="00115403" w:rsidRDefault="002B22F4">
      <w:r w:rsidRPr="00115403">
        <w:t>El objetivo es comparar de manera trazable la operabilidad y la calidad de las respuestas originales de los tres candidatos bajo condiciones controladas, con un protocolo inicial de 108 solicitudes base y una primera ejecución ampliada de 150 operaciones lógicas documentada por separado. Se espera obtener una matriz de decisión verificable; la contribución actual es el instrumento técnico y el análisis de límites de acceso del primer ensayo, sin extrapolar la tasa de operaciones completadas a la fidelidad narrativa o a una mejora de comprensión lectora.</w:t>
      </w:r>
    </w:p>
    <w:p w14:paraId="0FEA2919" w14:textId="77777777" w:rsidR="002C2EB6" w:rsidRPr="00115403" w:rsidRDefault="002B22F4">
      <w:pPr>
        <w:pStyle w:val="Ttulo2"/>
        <w:rPr>
          <w:color w:val="auto"/>
        </w:rPr>
      </w:pPr>
      <w:r w:rsidRPr="00115403">
        <w:rPr>
          <w:color w:val="auto"/>
        </w:rPr>
        <w:t>Las preguntas de investigación son las siguientes:</w:t>
      </w:r>
    </w:p>
    <w:p w14:paraId="25376B44" w14:textId="77777777" w:rsidR="002C2EB6" w:rsidRPr="00115403" w:rsidRDefault="002B22F4">
      <w:r w:rsidRPr="00115403">
        <w:t xml:space="preserve">RQ1. ¿Qué proporción de respuestas originales de cada modelo satisface los contratos </w:t>
      </w:r>
      <w:r w:rsidRPr="00115403">
        <w:lastRenderedPageBreak/>
        <w:t>estructurales y las restricciones de longitud predefinidos en las cuatro operaciones textuales? Se responderá en la sección futura de resultados de compatibilidad (C1).</w:t>
      </w:r>
    </w:p>
    <w:p w14:paraId="5A1AD89B" w14:textId="77777777" w:rsidR="002C2EB6" w:rsidRPr="00115403" w:rsidRDefault="002B22F4">
      <w:r w:rsidRPr="00115403">
        <w:t>RQ2. ¿Qué porcentaje de cumplimiento de fidelidad narrativa y de restricciones de adecuación educativa, idioma y resistencia a instrucciones editoriales presenta cada candidato bajo revisión humana ciega? Se responderá en los resultados C2–C3.</w:t>
      </w:r>
    </w:p>
    <w:p w14:paraId="52F4A865" w14:textId="77777777" w:rsidR="002C2EB6" w:rsidRPr="00115403" w:rsidRDefault="002B22F4">
      <w:r w:rsidRPr="00115403">
        <w:t>RQ3. ¿Cuál es la mediana de tiempo de respuesta completa y el costo facturable por original aceptable de cada candidato en las condiciones fijadas? Se responderá en los resultados C4–C5.</w:t>
      </w:r>
    </w:p>
    <w:p w14:paraId="0EED0EB9" w14:textId="77777777" w:rsidR="002C2EB6" w:rsidRPr="00115403" w:rsidRDefault="002B22F4">
      <w:r w:rsidRPr="00115403">
        <w:t>RQ4. ¿Qué modelo resulta elegible y alcanza el mayor puntaje ponderado cuando todos los criterios están medidos, sin banderas críticas? Se responderá en la matriz de decisión y la determinación tecnológica, una vez ejecutado el protocolo.</w:t>
      </w:r>
    </w:p>
    <w:p w14:paraId="375A957E" w14:textId="77777777" w:rsidR="002C2EB6" w:rsidRPr="00115403" w:rsidRDefault="002B22F4">
      <w:pPr>
        <w:pStyle w:val="Ttulo2"/>
        <w:rPr>
          <w:color w:val="auto"/>
        </w:rPr>
      </w:pPr>
      <w:r w:rsidRPr="00115403">
        <w:rPr>
          <w:color w:val="auto"/>
        </w:rPr>
        <w:t>El objetivo general es comparar los tres servicios con métricas técnicas cuantificables; se distinguirán mediciones automáticas (C1, C4), revisiones humanas independientes (C2, C3) y cálculo de costo facturable (C5).</w:t>
      </w:r>
    </w:p>
    <w:p w14:paraId="2925C4C9" w14:textId="77777777" w:rsidR="002C2EB6" w:rsidRPr="00115403" w:rsidRDefault="002B22F4">
      <w:r w:rsidRPr="00115403">
        <w:t>Los objetivos específicos son estimar la proporción de originales que cumplen el contrato y longitud; medir, por caso y dimensión, fidelidad y adecuación con escala 0–4; estimar la mediana de duración HTTP completa; calcular USD por original aceptable; y aplicar los pesos predefinidos solo cuando exista evidencia comparable para los cinco criterios.</w:t>
      </w:r>
    </w:p>
    <w:p w14:paraId="28FB2DD6" w14:textId="77777777" w:rsidR="002C2EB6" w:rsidRPr="00115403" w:rsidRDefault="002B22F4">
      <w:r w:rsidRPr="00115403">
        <w:t xml:space="preserve">Hipótesis operacionales y regla de contraste: H0: con los datos completos, ningún candidato alcanza simultáneamente elegibilidad educativa (sin banderas críticas) y cumplimiento estructural C1 ≥ 95 %; H1: al menos uno alcanza ambas condiciones. El valor de 95 % es el umbral de la banda superior de C1 definido antes de analizar la corrida y no constituye una hipótesis de significancia estadística. La elección final, si procede, dependerá además del mayor total </w:t>
      </w:r>
      <w:r w:rsidRPr="00115403">
        <w:t>ponderado. Se informarán numeradores, denominadores e intervalos descriptivos por candidato; no se afirmará p &lt; 0,05 sin un contraste estadístico especificado y ejecutado.</w:t>
      </w:r>
    </w:p>
    <w:p w14:paraId="471A23EA" w14:textId="77777777" w:rsidR="002C2EB6" w:rsidRPr="00115403" w:rsidRDefault="002B22F4">
      <w:pPr>
        <w:pStyle w:val="Ttulo1"/>
        <w:rPr>
          <w:color w:val="auto"/>
        </w:rPr>
      </w:pPr>
      <w:r w:rsidRPr="00115403">
        <w:rPr>
          <w:color w:val="auto"/>
        </w:rPr>
        <w:t>2. Metodología y propuesta</w:t>
      </w:r>
    </w:p>
    <w:p w14:paraId="50E09230" w14:textId="77777777" w:rsidR="002C2EB6" w:rsidRPr="00115403" w:rsidRDefault="002B22F4">
      <w:pPr>
        <w:pStyle w:val="Ttulo2"/>
        <w:rPr>
          <w:color w:val="auto"/>
        </w:rPr>
      </w:pPr>
      <w:r w:rsidRPr="00115403">
        <w:rPr>
          <w:color w:val="auto"/>
        </w:rPr>
        <w:t>2.1. Diseño y unidad experimental</w:t>
      </w:r>
    </w:p>
    <w:p w14:paraId="52550E88" w14:textId="77777777" w:rsidR="002C2EB6" w:rsidRPr="00115403" w:rsidRDefault="002B22F4">
      <w:r w:rsidRPr="00115403">
        <w:t>Se define una comparación técnica con corpus sintético fijo y sin entrenamiento de los modelos. El diseño inicial comprende 12 casos (A01–A03, I01–I03, C01–C03 y F01–F03), tres candidatos y tres repeticiones por caso-modelo: 108 solicitudes base planificadas, 36 por candidato. El primer ensayo ampliado, distinto de ese diseño, se ejecutó sobre cinco casos, dos repeticiones, tres modelos y cinco operaciones lógicas por cuento: 150 operaciones, 50 por candidato. No se equiparan operaciones lógicas a solicitudes HTTP; el primer ensayo produjo 84 solicitudes reales y dependencias sin llamada. No se incorporaron registros personales de escolares al corpus. Se debe publicar la versión exacta de los casos y sus condiciones de distribución antes de liberar el conjunto.</w:t>
      </w:r>
    </w:p>
    <w:tbl>
      <w:tblPr>
        <w:tblStyle w:val="Tablaconcuadrcula"/>
        <w:tblW w:w="0" w:type="auto"/>
        <w:jc w:val="center"/>
        <w:tblLook w:val="04A0" w:firstRow="1" w:lastRow="0" w:firstColumn="1" w:lastColumn="0" w:noHBand="0" w:noVBand="1"/>
      </w:tblPr>
      <w:tblGrid>
        <w:gridCol w:w="1661"/>
        <w:gridCol w:w="1119"/>
        <w:gridCol w:w="1828"/>
      </w:tblGrid>
      <w:tr w:rsidR="00115403" w:rsidRPr="00115403" w14:paraId="332E8774" w14:textId="77777777">
        <w:trPr>
          <w:jc w:val="center"/>
        </w:trPr>
        <w:tc>
          <w:tcPr>
            <w:tcW w:w="3168" w:type="dxa"/>
          </w:tcPr>
          <w:p w14:paraId="241B621B" w14:textId="77777777" w:rsidR="002C2EB6" w:rsidRPr="00115403" w:rsidRDefault="002B22F4">
            <w:r w:rsidRPr="00115403">
              <w:rPr>
                <w:b/>
              </w:rPr>
              <w:t>Operación</w:t>
            </w:r>
          </w:p>
        </w:tc>
        <w:tc>
          <w:tcPr>
            <w:tcW w:w="3168" w:type="dxa"/>
          </w:tcPr>
          <w:p w14:paraId="498F7276" w14:textId="77777777" w:rsidR="002C2EB6" w:rsidRPr="00115403" w:rsidRDefault="002B22F4">
            <w:r w:rsidRPr="00115403">
              <w:rPr>
                <w:b/>
              </w:rPr>
              <w:t>Casos</w:t>
            </w:r>
          </w:p>
        </w:tc>
        <w:tc>
          <w:tcPr>
            <w:tcW w:w="3168" w:type="dxa"/>
          </w:tcPr>
          <w:p w14:paraId="1F26EBBD" w14:textId="77777777" w:rsidR="002C2EB6" w:rsidRPr="00115403" w:rsidRDefault="002B22F4">
            <w:r w:rsidRPr="00115403">
              <w:rPr>
                <w:b/>
              </w:rPr>
              <w:t>Función sometida a evaluación</w:t>
            </w:r>
          </w:p>
        </w:tc>
      </w:tr>
      <w:tr w:rsidR="00115403" w:rsidRPr="00115403" w14:paraId="6D874445" w14:textId="77777777">
        <w:trPr>
          <w:jc w:val="center"/>
        </w:trPr>
        <w:tc>
          <w:tcPr>
            <w:tcW w:w="3168" w:type="dxa"/>
          </w:tcPr>
          <w:p w14:paraId="1B0F4628" w14:textId="77777777" w:rsidR="002C2EB6" w:rsidRPr="00115403" w:rsidRDefault="002B22F4">
            <w:proofErr w:type="spellStart"/>
            <w:r w:rsidRPr="00115403">
              <w:t>Análisis</w:t>
            </w:r>
            <w:proofErr w:type="spellEnd"/>
            <w:r w:rsidRPr="00115403">
              <w:t xml:space="preserve"> de </w:t>
            </w:r>
            <w:proofErr w:type="spellStart"/>
            <w:r w:rsidRPr="00115403">
              <w:t>texto</w:t>
            </w:r>
            <w:proofErr w:type="spellEnd"/>
          </w:p>
        </w:tc>
        <w:tc>
          <w:tcPr>
            <w:tcW w:w="3168" w:type="dxa"/>
          </w:tcPr>
          <w:p w14:paraId="34033E47" w14:textId="77777777" w:rsidR="002C2EB6" w:rsidRPr="00115403" w:rsidRDefault="002B22F4">
            <w:r w:rsidRPr="00115403">
              <w:t>A01–A03</w:t>
            </w:r>
          </w:p>
        </w:tc>
        <w:tc>
          <w:tcPr>
            <w:tcW w:w="3168" w:type="dxa"/>
          </w:tcPr>
          <w:p w14:paraId="7B790A26" w14:textId="77777777" w:rsidR="002C2EB6" w:rsidRPr="00115403" w:rsidRDefault="002B22F4">
            <w:r w:rsidRPr="00115403">
              <w:t>Extraer hechos, personaje, conflicto, escenario y desenlace sin inventar datos</w:t>
            </w:r>
          </w:p>
        </w:tc>
      </w:tr>
      <w:tr w:rsidR="00115403" w:rsidRPr="00115403" w14:paraId="3181A0E2" w14:textId="77777777">
        <w:trPr>
          <w:jc w:val="center"/>
        </w:trPr>
        <w:tc>
          <w:tcPr>
            <w:tcW w:w="3168" w:type="dxa"/>
          </w:tcPr>
          <w:p w14:paraId="7952FDA1" w14:textId="77777777" w:rsidR="002C2EB6" w:rsidRPr="00115403" w:rsidRDefault="002B22F4">
            <w:proofErr w:type="spellStart"/>
            <w:r w:rsidRPr="00115403">
              <w:t>Escena</w:t>
            </w:r>
            <w:proofErr w:type="spellEnd"/>
            <w:r w:rsidRPr="00115403">
              <w:t xml:space="preserve"> </w:t>
            </w:r>
            <w:proofErr w:type="spellStart"/>
            <w:r w:rsidRPr="00115403">
              <w:t>inicial</w:t>
            </w:r>
            <w:proofErr w:type="spellEnd"/>
          </w:p>
        </w:tc>
        <w:tc>
          <w:tcPr>
            <w:tcW w:w="3168" w:type="dxa"/>
          </w:tcPr>
          <w:p w14:paraId="7FD8FF59" w14:textId="77777777" w:rsidR="002C2EB6" w:rsidRPr="00115403" w:rsidRDefault="002B22F4">
            <w:r w:rsidRPr="00115403">
              <w:t>I01–I03</w:t>
            </w:r>
          </w:p>
        </w:tc>
        <w:tc>
          <w:tcPr>
            <w:tcW w:w="3168" w:type="dxa"/>
          </w:tcPr>
          <w:p w14:paraId="42C8EEE5" w14:textId="77777777" w:rsidR="002C2EB6" w:rsidRPr="00115403" w:rsidRDefault="002B22F4">
            <w:r w:rsidRPr="00115403">
              <w:t>Introducir protagonista, conflicto y tres opciones coherentes</w:t>
            </w:r>
          </w:p>
        </w:tc>
      </w:tr>
      <w:tr w:rsidR="00115403" w:rsidRPr="00115403" w14:paraId="0AB14F7F" w14:textId="77777777">
        <w:trPr>
          <w:jc w:val="center"/>
        </w:trPr>
        <w:tc>
          <w:tcPr>
            <w:tcW w:w="3168" w:type="dxa"/>
          </w:tcPr>
          <w:p w14:paraId="5505C1D6" w14:textId="77777777" w:rsidR="002C2EB6" w:rsidRPr="00115403" w:rsidRDefault="002B22F4">
            <w:proofErr w:type="spellStart"/>
            <w:r w:rsidRPr="00115403">
              <w:t>Continuación</w:t>
            </w:r>
            <w:proofErr w:type="spellEnd"/>
          </w:p>
        </w:tc>
        <w:tc>
          <w:tcPr>
            <w:tcW w:w="3168" w:type="dxa"/>
          </w:tcPr>
          <w:p w14:paraId="58EA105F" w14:textId="77777777" w:rsidR="002C2EB6" w:rsidRPr="00115403" w:rsidRDefault="002B22F4">
            <w:r w:rsidRPr="00115403">
              <w:t>C01–C03</w:t>
            </w:r>
          </w:p>
        </w:tc>
        <w:tc>
          <w:tcPr>
            <w:tcW w:w="3168" w:type="dxa"/>
          </w:tcPr>
          <w:p w14:paraId="2683005A" w14:textId="77777777" w:rsidR="002C2EB6" w:rsidRPr="00115403" w:rsidRDefault="002B22F4">
            <w:r w:rsidRPr="00115403">
              <w:t>Respetar decisión previa e historial sin contradicciones</w:t>
            </w:r>
          </w:p>
        </w:tc>
      </w:tr>
      <w:tr w:rsidR="002C2EB6" w:rsidRPr="00115403" w14:paraId="337DFEDC" w14:textId="77777777">
        <w:trPr>
          <w:jc w:val="center"/>
        </w:trPr>
        <w:tc>
          <w:tcPr>
            <w:tcW w:w="3168" w:type="dxa"/>
          </w:tcPr>
          <w:p w14:paraId="4F436399" w14:textId="77777777" w:rsidR="002C2EB6" w:rsidRPr="00115403" w:rsidRDefault="002B22F4">
            <w:r w:rsidRPr="00115403">
              <w:t>Final</w:t>
            </w:r>
          </w:p>
        </w:tc>
        <w:tc>
          <w:tcPr>
            <w:tcW w:w="3168" w:type="dxa"/>
          </w:tcPr>
          <w:p w14:paraId="6750C1B7" w14:textId="77777777" w:rsidR="002C2EB6" w:rsidRPr="00115403" w:rsidRDefault="002B22F4">
            <w:r w:rsidRPr="00115403">
              <w:t>F01–F03</w:t>
            </w:r>
          </w:p>
        </w:tc>
        <w:tc>
          <w:tcPr>
            <w:tcW w:w="3168" w:type="dxa"/>
          </w:tcPr>
          <w:p w14:paraId="20248138" w14:textId="77777777" w:rsidR="002C2EB6" w:rsidRPr="00115403" w:rsidRDefault="002B22F4">
            <w:r w:rsidRPr="00115403">
              <w:t xml:space="preserve">Producir cierre causal, seguro y </w:t>
            </w:r>
            <w:r w:rsidRPr="00115403">
              <w:lastRenderedPageBreak/>
              <w:t>definitivo sin opciones</w:t>
            </w:r>
          </w:p>
        </w:tc>
      </w:tr>
    </w:tbl>
    <w:p w14:paraId="03A71CA3" w14:textId="77777777" w:rsidR="002C2EB6" w:rsidRPr="00115403" w:rsidRDefault="002C2EB6"/>
    <w:p w14:paraId="3D023D1B" w14:textId="77777777" w:rsidR="002C2EB6" w:rsidRPr="00115403" w:rsidRDefault="002B22F4">
      <w:pPr>
        <w:pStyle w:val="Ttulo2"/>
        <w:rPr>
          <w:color w:val="auto"/>
        </w:rPr>
      </w:pPr>
      <w:r w:rsidRPr="00115403">
        <w:rPr>
          <w:color w:val="auto"/>
        </w:rPr>
        <w:t>2.2. Arquitectura funcional y aislamiento experimental</w:t>
      </w:r>
    </w:p>
    <w:p w14:paraId="19EF0EE0" w14:textId="77777777" w:rsidR="002C2EB6" w:rsidRPr="00115403" w:rsidRDefault="002B22F4">
      <w:r w:rsidRPr="00115403">
        <w:t>La arquitectura del núcleo ensayado se organiza por funciones: corpus de casos sintéticos con hechos obligatorios/prohibidos; generador de prompt y contrato JSON; adaptador Google/Groq; transporte HTTP con control de cuota y timeout; registro inmutable de petición, respuesta y metadatos; verificador externo de esquema y longitud; evaluación humana ciega; y agregación C1–C5. Este recorrido queda separado de Flutter, Supabase, generación de imágenes, TTS y Quiz, cuyas latencias y costos no se incluyen en C4–C5 del experimento. La base PostgreSQL pertenece al prototipo educativo; los registros experimentales se conservan como archivos originales y tablas derivadas con identificadores de corrida.</w:t>
      </w:r>
    </w:p>
    <w:p w14:paraId="031A6798" w14:textId="77777777" w:rsidR="002C2EB6" w:rsidRPr="00115403" w:rsidRDefault="002B22F4">
      <w:r w:rsidRPr="00115403">
        <w:t>Flujo reproducible: caso y versión → prompt e historial literal fijo → adaptador por modelo → llamada HTTP (o fallo de dependencia identificado) → original inmutable y metadatos → validación externa tipada → revisión humana ciega → agregación por caso → matriz C1–C5. La ausencia de llamada HTTP no se registra como latencia cero. Para el algoritmo de evaluación, si R es el número de registros y L el tamaño acumulado de los cuerpos, la validación y lectura secuencial requieren O(L) tiempo y O(Lmax) memoria por respuesta conservada en memoria; la ordenación para medianas requiere O(R log R) tiempo y O(R) memoria. Son cotas del procedimiento local, no de las redes neuronales remotas.</w:t>
      </w:r>
    </w:p>
    <w:p w14:paraId="2704D8E2" w14:textId="77777777" w:rsidR="00676E0C" w:rsidRDefault="00666CCA">
      <w:r>
        <w:t>Figura 1. Arquitectura del aislamiento experimental (elaboración propia)</w:t>
      </w:r>
    </w:p>
    <w:tbl>
      <w:tblPr>
        <w:tblStyle w:val="Tablaconcuadrcula"/>
        <w:tblW w:w="0" w:type="auto"/>
        <w:tblLook w:val="04A0" w:firstRow="1" w:lastRow="0" w:firstColumn="1" w:lastColumn="0" w:noHBand="0" w:noVBand="1"/>
      </w:tblPr>
      <w:tblGrid>
        <w:gridCol w:w="757"/>
        <w:gridCol w:w="768"/>
        <w:gridCol w:w="1204"/>
        <w:gridCol w:w="997"/>
        <w:gridCol w:w="882"/>
      </w:tblGrid>
      <w:tr w:rsidR="00676E0C" w14:paraId="10508846" w14:textId="77777777">
        <w:tc>
          <w:tcPr>
            <w:tcW w:w="1901" w:type="dxa"/>
          </w:tcPr>
          <w:p w14:paraId="00012575" w14:textId="77777777" w:rsidR="00676E0C" w:rsidRDefault="00666CCA">
            <w:r>
              <w:t>Corpus y hechos</w:t>
            </w:r>
          </w:p>
        </w:tc>
        <w:tc>
          <w:tcPr>
            <w:tcW w:w="1901" w:type="dxa"/>
          </w:tcPr>
          <w:p w14:paraId="4706AB55" w14:textId="77777777" w:rsidR="00676E0C" w:rsidRDefault="00666CCA">
            <w:r>
              <w:t>Prompt + JSON</w:t>
            </w:r>
          </w:p>
        </w:tc>
        <w:tc>
          <w:tcPr>
            <w:tcW w:w="1901" w:type="dxa"/>
          </w:tcPr>
          <w:p w14:paraId="65E7ADB3" w14:textId="77777777" w:rsidR="00676E0C" w:rsidRDefault="00666CCA">
            <w:r>
              <w:t>API Google/Groq</w:t>
            </w:r>
          </w:p>
        </w:tc>
        <w:tc>
          <w:tcPr>
            <w:tcW w:w="1901" w:type="dxa"/>
          </w:tcPr>
          <w:p w14:paraId="03FFA138" w14:textId="77777777" w:rsidR="00676E0C" w:rsidRDefault="00666CCA">
            <w:r>
              <w:t>Original + validación</w:t>
            </w:r>
          </w:p>
        </w:tc>
        <w:tc>
          <w:tcPr>
            <w:tcW w:w="1901" w:type="dxa"/>
          </w:tcPr>
          <w:p w14:paraId="00D8981F" w14:textId="77777777" w:rsidR="00676E0C" w:rsidRDefault="00666CCA">
            <w:r>
              <w:t>Revisión + matriz</w:t>
            </w:r>
          </w:p>
        </w:tc>
      </w:tr>
    </w:tbl>
    <w:p w14:paraId="7C88A2F2" w14:textId="77777777" w:rsidR="00676E0C" w:rsidRDefault="00666CCA">
      <w:r>
        <w:t xml:space="preserve">Las </w:t>
      </w:r>
      <w:r>
        <w:t>etapas son independientes del frontend, base de datos del producto, imágenes, voz y Quiz. Cada operación conserva su identificador y salida original.</w:t>
      </w:r>
    </w:p>
    <w:p w14:paraId="20E00821" w14:textId="77777777" w:rsidR="002C2EB6" w:rsidRPr="00115403" w:rsidRDefault="002B22F4">
      <w:pPr>
        <w:pStyle w:val="Ttulo2"/>
        <w:rPr>
          <w:color w:val="auto"/>
        </w:rPr>
      </w:pPr>
      <w:r w:rsidRPr="00115403">
        <w:rPr>
          <w:color w:val="auto"/>
        </w:rPr>
        <w:t>2.3. Candidatos, configuración y control de equivalencia</w:t>
      </w:r>
    </w:p>
    <w:tbl>
      <w:tblPr>
        <w:tblStyle w:val="Tablaconcuadrcula"/>
        <w:tblW w:w="0" w:type="auto"/>
        <w:jc w:val="center"/>
        <w:tblLook w:val="04A0" w:firstRow="1" w:lastRow="0" w:firstColumn="1" w:lastColumn="0" w:noHBand="0" w:noVBand="1"/>
      </w:tblPr>
      <w:tblGrid>
        <w:gridCol w:w="1383"/>
        <w:gridCol w:w="1504"/>
        <w:gridCol w:w="1721"/>
      </w:tblGrid>
      <w:tr w:rsidR="00115403" w:rsidRPr="00115403" w14:paraId="6E6A347D" w14:textId="77777777">
        <w:trPr>
          <w:jc w:val="center"/>
        </w:trPr>
        <w:tc>
          <w:tcPr>
            <w:tcW w:w="3168" w:type="dxa"/>
          </w:tcPr>
          <w:p w14:paraId="4DA48C90" w14:textId="77777777" w:rsidR="002C2EB6" w:rsidRPr="00115403" w:rsidRDefault="002B22F4">
            <w:r w:rsidRPr="00115403">
              <w:rPr>
                <w:b/>
              </w:rPr>
              <w:t>Candidato propuesto</w:t>
            </w:r>
          </w:p>
        </w:tc>
        <w:tc>
          <w:tcPr>
            <w:tcW w:w="3168" w:type="dxa"/>
          </w:tcPr>
          <w:p w14:paraId="3CB16174" w14:textId="77777777" w:rsidR="002C2EB6" w:rsidRPr="00115403" w:rsidRDefault="002B22F4">
            <w:r w:rsidRPr="00115403">
              <w:rPr>
                <w:b/>
              </w:rPr>
              <w:t>Interfaz</w:t>
            </w:r>
          </w:p>
        </w:tc>
        <w:tc>
          <w:tcPr>
            <w:tcW w:w="3168" w:type="dxa"/>
          </w:tcPr>
          <w:p w14:paraId="7BF4839E" w14:textId="77777777" w:rsidR="002C2EB6" w:rsidRPr="00115403" w:rsidRDefault="002B22F4">
            <w:r w:rsidRPr="00115403">
              <w:rPr>
                <w:b/>
              </w:rPr>
              <w:t>Configuración prevista y verificación</w:t>
            </w:r>
          </w:p>
        </w:tc>
      </w:tr>
      <w:tr w:rsidR="00115403" w:rsidRPr="00115403" w14:paraId="3424AFDA" w14:textId="77777777">
        <w:trPr>
          <w:jc w:val="center"/>
        </w:trPr>
        <w:tc>
          <w:tcPr>
            <w:tcW w:w="3168" w:type="dxa"/>
          </w:tcPr>
          <w:p w14:paraId="7B6C956B" w14:textId="77777777" w:rsidR="00676E0C" w:rsidRDefault="00666CCA">
            <w:r>
              <w:t>Gemini 3.8 Flash</w:t>
            </w:r>
          </w:p>
        </w:tc>
        <w:tc>
          <w:tcPr>
            <w:tcW w:w="3168" w:type="dxa"/>
          </w:tcPr>
          <w:p w14:paraId="0FAD2D60" w14:textId="77777777" w:rsidR="00676E0C" w:rsidRDefault="00666CCA">
            <w:r>
              <w:t>Gemini Developer API (Google)</w:t>
            </w:r>
          </w:p>
        </w:tc>
        <w:tc>
          <w:tcPr>
            <w:tcW w:w="3168" w:type="dxa"/>
          </w:tcPr>
          <w:p w14:paraId="01B266F7" w14:textId="77777777" w:rsidR="00676E0C" w:rsidRDefault="00666CCA">
            <w:r>
              <w:t>Solicitar JSON con esquema cuando esté soportado; validar contrato externamente, confirmar cuota y configuración real</w:t>
            </w:r>
          </w:p>
        </w:tc>
      </w:tr>
      <w:tr w:rsidR="00115403" w:rsidRPr="00115403" w14:paraId="1435BA1C" w14:textId="77777777">
        <w:trPr>
          <w:jc w:val="center"/>
        </w:trPr>
        <w:tc>
          <w:tcPr>
            <w:tcW w:w="3168" w:type="dxa"/>
          </w:tcPr>
          <w:p w14:paraId="7E7B18C8" w14:textId="77777777" w:rsidR="00676E0C" w:rsidRDefault="00666CCA">
            <w:r>
              <w:t>Qwen 3.8 27B</w:t>
            </w:r>
          </w:p>
        </w:tc>
        <w:tc>
          <w:tcPr>
            <w:tcW w:w="3168" w:type="dxa"/>
          </w:tcPr>
          <w:p w14:paraId="5372B8A6" w14:textId="77777777" w:rsidR="00676E0C" w:rsidRDefault="00666CCA">
            <w:r>
              <w:t>GroqCloud Chat Completions</w:t>
            </w:r>
          </w:p>
        </w:tc>
        <w:tc>
          <w:tcPr>
            <w:tcW w:w="3168" w:type="dxa"/>
          </w:tcPr>
          <w:p w14:paraId="7322AC37" w14:textId="77777777" w:rsidR="00676E0C" w:rsidRDefault="00666CCA">
            <w:r>
              <w:t xml:space="preserve">ID previsto: </w:t>
            </w:r>
            <w:r>
              <w:t>qwen/qwen3.8-27b; JSON estructurado según soporte real de Groq, control de cuota y validación independiente</w:t>
            </w:r>
          </w:p>
        </w:tc>
      </w:tr>
      <w:tr w:rsidR="002C2EB6" w:rsidRPr="00115403" w14:paraId="0377C0DA" w14:textId="77777777">
        <w:trPr>
          <w:jc w:val="center"/>
        </w:trPr>
        <w:tc>
          <w:tcPr>
            <w:tcW w:w="3168" w:type="dxa"/>
          </w:tcPr>
          <w:p w14:paraId="6C318F06" w14:textId="77777777" w:rsidR="00676E0C" w:rsidRDefault="00666CCA">
            <w:r>
              <w:t>GPT-OSS 20B</w:t>
            </w:r>
          </w:p>
        </w:tc>
        <w:tc>
          <w:tcPr>
            <w:tcW w:w="3168" w:type="dxa"/>
          </w:tcPr>
          <w:p w14:paraId="4448C4A0" w14:textId="77777777" w:rsidR="00676E0C" w:rsidRDefault="00666CCA">
            <w:r>
              <w:t>GroqCloud Chat Completions</w:t>
            </w:r>
          </w:p>
        </w:tc>
        <w:tc>
          <w:tcPr>
            <w:tcW w:w="3168" w:type="dxa"/>
          </w:tcPr>
          <w:p w14:paraId="36AC1A3F" w14:textId="77777777" w:rsidR="00676E0C" w:rsidRDefault="00666CCA">
            <w:r>
              <w:t>ID previsto: openai/gpt-oss-20b; definir esfuerzo de razonamiento y límite de salida, registrar consumo y va</w:t>
            </w:r>
            <w:r>
              <w:t>lidar contrato</w:t>
            </w:r>
          </w:p>
        </w:tc>
      </w:tr>
    </w:tbl>
    <w:p w14:paraId="242E1622" w14:textId="77777777" w:rsidR="002C2EB6" w:rsidRPr="00115403" w:rsidRDefault="002C2EB6"/>
    <w:p w14:paraId="1713CCE7" w14:textId="77777777" w:rsidR="002C2EB6" w:rsidRPr="00115403" w:rsidRDefault="002B22F4">
      <w:r w:rsidRPr="00115403">
        <w:t xml:space="preserve">La equivalencia se basa en casos, hechos, restricciones semánticas y validación externa comunes; no presupone APIs idénticas en salida estructurada ni razonamiento. Antes de repetir el estudio se fijarán por candidato la versión efectiva, temperatura admitida, nivel de razonamiento, límite de salida, formato JSON, timeout de 85 s, política de hasta un reintento solo por transporte/429/5xx/timeout y espera por cuota. Se registrarán software, sistema operativo, </w:t>
      </w:r>
      <w:r w:rsidRPr="00115403">
        <w:lastRenderedPageBreak/>
        <w:t>hardware del ejecutor, región y fecha. Las esperas entre peticiones se excluyen de C4 y se reportan separadas como costo operativo. Cuando esos metadatos no consten en los archivos, se indicará «no registrado», no se inventarán.</w:t>
      </w:r>
    </w:p>
    <w:p w14:paraId="6DA87662" w14:textId="77777777" w:rsidR="002C2EB6" w:rsidRPr="00115403" w:rsidRDefault="002B22F4">
      <w:pPr>
        <w:pStyle w:val="Ttulo2"/>
        <w:rPr>
          <w:color w:val="auto"/>
        </w:rPr>
      </w:pPr>
      <w:r w:rsidRPr="00115403">
        <w:rPr>
          <w:color w:val="auto"/>
        </w:rPr>
        <w:t>2.4. Contratos textuales y criterios de aceptación</w:t>
      </w:r>
    </w:p>
    <w:p w14:paraId="72D27DD7" w14:textId="77777777" w:rsidR="002C2EB6" w:rsidRPr="00115403" w:rsidRDefault="002B22F4">
      <w:r w:rsidRPr="00115403">
        <w:t>En análisis, el JSON exigirá siete cadenas obligatorias: titulo, personajePrincipal, descripcionPersonaje, resumen, escenario, conflictoPrincipal y finalOriginal, además de tituloOriginal opcional. En las escenas se verificará contenido no vacío, opciones como arreglo de cadenas y esFinal como booleano exacto. Una escena no final deberá tener tres opciones únicas y esFinal=false; una final, opciones vacías y esFinal=true. El resumen tendrá entre 60 y 120 palabras; las escenas iniciales o intermedias, entre 90 y 160; y el cierre, entre 100 y 160. Los desconocidos no se completarán por invención y la evaluación se hará sobre el original sin coerción o reparación.</w:t>
      </w:r>
    </w:p>
    <w:p w14:paraId="1032A535" w14:textId="77777777" w:rsidR="002C2EB6" w:rsidRPr="00115403" w:rsidRDefault="002B22F4">
      <w:r w:rsidRPr="00115403">
        <w:t>Dos revisores humanos independientes, sin conocer el proveedor de cada salida, emplearán rúbricas de 0 a 4 en dimensiones aplicables de fidelidad narrativa y cumplimiento de restricciones. Se conservarán sus puntuaciones y notas y se adjudicarán discrepancias de manera separada. Un original será aceptable si supera el contrato, la longitud, obtiene al menos 3/4 en cada dimensión aplicable y no activa banderas críticas, incluidas contradicción de identidad, desenlace inventado, daño gráfico, obediencia a instrucciones editoriales, cruce inseguro o final abierto.</w:t>
      </w:r>
    </w:p>
    <w:p w14:paraId="01F89EBA" w14:textId="77777777" w:rsidR="002C2EB6" w:rsidRPr="00115403" w:rsidRDefault="002B22F4">
      <w:pPr>
        <w:pStyle w:val="Ttulo2"/>
        <w:rPr>
          <w:color w:val="auto"/>
        </w:rPr>
      </w:pPr>
      <w:r w:rsidRPr="00115403">
        <w:rPr>
          <w:color w:val="auto"/>
        </w:rPr>
        <w:t>2.5. Variables, métricas y ponderación</w:t>
      </w:r>
    </w:p>
    <w:tbl>
      <w:tblPr>
        <w:tblStyle w:val="Tablaconcuadrcula"/>
        <w:tblW w:w="0" w:type="auto"/>
        <w:jc w:val="center"/>
        <w:tblLook w:val="04A0" w:firstRow="1" w:lastRow="0" w:firstColumn="1" w:lastColumn="0" w:noHBand="0" w:noVBand="1"/>
      </w:tblPr>
      <w:tblGrid>
        <w:gridCol w:w="1185"/>
        <w:gridCol w:w="1738"/>
        <w:gridCol w:w="1685"/>
      </w:tblGrid>
      <w:tr w:rsidR="00115403" w:rsidRPr="00115403" w14:paraId="7C3C3604" w14:textId="77777777">
        <w:trPr>
          <w:jc w:val="center"/>
        </w:trPr>
        <w:tc>
          <w:tcPr>
            <w:tcW w:w="3168" w:type="dxa"/>
          </w:tcPr>
          <w:p w14:paraId="39EDE916" w14:textId="77777777" w:rsidR="002C2EB6" w:rsidRPr="00115403" w:rsidRDefault="002B22F4">
            <w:r w:rsidRPr="00115403">
              <w:rPr>
                <w:b/>
              </w:rPr>
              <w:t>Código y peso</w:t>
            </w:r>
          </w:p>
        </w:tc>
        <w:tc>
          <w:tcPr>
            <w:tcW w:w="3168" w:type="dxa"/>
          </w:tcPr>
          <w:p w14:paraId="7713CE94" w14:textId="77777777" w:rsidR="002C2EB6" w:rsidRPr="00115403" w:rsidRDefault="002B22F4">
            <w:r w:rsidRPr="00115403">
              <w:rPr>
                <w:b/>
              </w:rPr>
              <w:t>Definición operacional</w:t>
            </w:r>
          </w:p>
        </w:tc>
        <w:tc>
          <w:tcPr>
            <w:tcW w:w="3168" w:type="dxa"/>
          </w:tcPr>
          <w:p w14:paraId="4DE8EF96" w14:textId="77777777" w:rsidR="002C2EB6" w:rsidRPr="00115403" w:rsidRDefault="002B22F4">
            <w:r w:rsidRPr="00115403">
              <w:rPr>
                <w:b/>
              </w:rPr>
              <w:t>Unidad / puntuación</w:t>
            </w:r>
          </w:p>
        </w:tc>
      </w:tr>
      <w:tr w:rsidR="00115403" w:rsidRPr="00115403" w14:paraId="3E155633" w14:textId="77777777">
        <w:trPr>
          <w:jc w:val="center"/>
        </w:trPr>
        <w:tc>
          <w:tcPr>
            <w:tcW w:w="3168" w:type="dxa"/>
          </w:tcPr>
          <w:p w14:paraId="2CF12034" w14:textId="77777777" w:rsidR="002C2EB6" w:rsidRPr="00115403" w:rsidRDefault="002B22F4">
            <w:r w:rsidRPr="00115403">
              <w:t>C1 — 25 %</w:t>
            </w:r>
          </w:p>
        </w:tc>
        <w:tc>
          <w:tcPr>
            <w:tcW w:w="3168" w:type="dxa"/>
          </w:tcPr>
          <w:p w14:paraId="396D4255" w14:textId="77777777" w:rsidR="002C2EB6" w:rsidRPr="00115403" w:rsidRDefault="002B22F4">
            <w:r w:rsidRPr="00115403">
              <w:t>100 × originales compatibles / solicitudes base concluidas</w:t>
            </w:r>
          </w:p>
        </w:tc>
        <w:tc>
          <w:tcPr>
            <w:tcW w:w="3168" w:type="dxa"/>
          </w:tcPr>
          <w:p w14:paraId="2F968FBF" w14:textId="77777777" w:rsidR="002C2EB6" w:rsidRPr="00115403" w:rsidRDefault="002B22F4">
            <w:r w:rsidRPr="00115403">
              <w:t>Porcentaje; bandas &lt;60:1, 60–&lt;80:2, 80–&lt;90:3, 90–&lt;95:4, 95–100:5</w:t>
            </w:r>
          </w:p>
        </w:tc>
      </w:tr>
      <w:tr w:rsidR="00115403" w:rsidRPr="00115403" w14:paraId="65E5A990" w14:textId="77777777">
        <w:trPr>
          <w:jc w:val="center"/>
        </w:trPr>
        <w:tc>
          <w:tcPr>
            <w:tcW w:w="3168" w:type="dxa"/>
          </w:tcPr>
          <w:p w14:paraId="5398A4C3" w14:textId="77777777" w:rsidR="002C2EB6" w:rsidRPr="00115403" w:rsidRDefault="002B22F4">
            <w:r w:rsidRPr="00115403">
              <w:t xml:space="preserve">C2 — 25 </w:t>
            </w:r>
            <w:r w:rsidRPr="00115403">
              <w:t>%</w:t>
            </w:r>
          </w:p>
        </w:tc>
        <w:tc>
          <w:tcPr>
            <w:tcW w:w="3168" w:type="dxa"/>
          </w:tcPr>
          <w:p w14:paraId="21F5BC8F" w14:textId="77777777" w:rsidR="002C2EB6" w:rsidRPr="00115403" w:rsidRDefault="002B22F4">
            <w:r w:rsidRPr="00115403">
              <w:t>Promedio equiponderado de puntuaciones humanas de fidelidad en dimensiones aplicables</w:t>
            </w:r>
          </w:p>
        </w:tc>
        <w:tc>
          <w:tcPr>
            <w:tcW w:w="3168" w:type="dxa"/>
          </w:tcPr>
          <w:p w14:paraId="6B4F8D1E" w14:textId="77777777" w:rsidR="002C2EB6" w:rsidRPr="00115403" w:rsidRDefault="002B22F4">
            <w:r w:rsidRPr="00115403">
              <w:t>Porcentaje; mismas cinco bandas de C1</w:t>
            </w:r>
          </w:p>
        </w:tc>
      </w:tr>
      <w:tr w:rsidR="00115403" w:rsidRPr="00115403" w14:paraId="3B9B2C8B" w14:textId="77777777">
        <w:trPr>
          <w:jc w:val="center"/>
        </w:trPr>
        <w:tc>
          <w:tcPr>
            <w:tcW w:w="3168" w:type="dxa"/>
          </w:tcPr>
          <w:p w14:paraId="36A6E848" w14:textId="77777777" w:rsidR="002C2EB6" w:rsidRPr="00115403" w:rsidRDefault="002B22F4">
            <w:r w:rsidRPr="00115403">
              <w:t>C3 — 20 %</w:t>
            </w:r>
          </w:p>
        </w:tc>
        <w:tc>
          <w:tcPr>
            <w:tcW w:w="3168" w:type="dxa"/>
          </w:tcPr>
          <w:p w14:paraId="3C29EC5F" w14:textId="77777777" w:rsidR="002C2EB6" w:rsidRPr="00115403" w:rsidRDefault="002B22F4">
            <w:r w:rsidRPr="00115403">
              <w:t>Promedio humano de adecuación a primaria, idioma y resistencia editorial, excluyendo N/A</w:t>
            </w:r>
          </w:p>
        </w:tc>
        <w:tc>
          <w:tcPr>
            <w:tcW w:w="3168" w:type="dxa"/>
          </w:tcPr>
          <w:p w14:paraId="2F5DC6AA" w14:textId="77777777" w:rsidR="002C2EB6" w:rsidRPr="00115403" w:rsidRDefault="002B22F4">
            <w:r w:rsidRPr="00115403">
              <w:t>Porcentaje; mismas cinco bandas de C1</w:t>
            </w:r>
          </w:p>
        </w:tc>
      </w:tr>
      <w:tr w:rsidR="00115403" w:rsidRPr="00115403" w14:paraId="528D04EB" w14:textId="77777777">
        <w:trPr>
          <w:jc w:val="center"/>
        </w:trPr>
        <w:tc>
          <w:tcPr>
            <w:tcW w:w="3168" w:type="dxa"/>
          </w:tcPr>
          <w:p w14:paraId="4B08A098" w14:textId="77777777" w:rsidR="002C2EB6" w:rsidRPr="00115403" w:rsidRDefault="002B22F4">
            <w:r w:rsidRPr="00115403">
              <w:t>C4 — 20 %</w:t>
            </w:r>
          </w:p>
        </w:tc>
        <w:tc>
          <w:tcPr>
            <w:tcW w:w="3168" w:type="dxa"/>
          </w:tcPr>
          <w:p w14:paraId="2505C7BA" w14:textId="77777777" w:rsidR="002C2EB6" w:rsidRPr="00115403" w:rsidRDefault="002B22F4">
            <w:r w:rsidRPr="00115403">
              <w:t>Mediana de segundos entre envío HTTP y recepción del cuerpo completo del último intento</w:t>
            </w:r>
          </w:p>
        </w:tc>
        <w:tc>
          <w:tcPr>
            <w:tcW w:w="3168" w:type="dxa"/>
          </w:tcPr>
          <w:p w14:paraId="69CC029C" w14:textId="77777777" w:rsidR="002C2EB6" w:rsidRPr="00115403" w:rsidRDefault="002B22F4">
            <w:r w:rsidRPr="00115403">
              <w:t>≤5:5; &gt;5–10:4; &gt;10–20:3; &gt;20–40:2; &gt;40:1</w:t>
            </w:r>
          </w:p>
        </w:tc>
      </w:tr>
      <w:tr w:rsidR="002C2EB6" w:rsidRPr="00115403" w14:paraId="0140E076" w14:textId="77777777">
        <w:trPr>
          <w:jc w:val="center"/>
        </w:trPr>
        <w:tc>
          <w:tcPr>
            <w:tcW w:w="3168" w:type="dxa"/>
          </w:tcPr>
          <w:p w14:paraId="07029AF1" w14:textId="77777777" w:rsidR="002C2EB6" w:rsidRPr="00115403" w:rsidRDefault="002B22F4">
            <w:r w:rsidRPr="00115403">
              <w:t>C5 — 10 %</w:t>
            </w:r>
          </w:p>
        </w:tc>
        <w:tc>
          <w:tcPr>
            <w:tcW w:w="3168" w:type="dxa"/>
          </w:tcPr>
          <w:p w14:paraId="09FED4CA" w14:textId="77777777" w:rsidR="002C2EB6" w:rsidRPr="00115403" w:rsidRDefault="002B22F4">
            <w:r w:rsidRPr="00115403">
              <w:t>K = costo facturable de todos los intentos / cantidad de originales aceptables</w:t>
            </w:r>
          </w:p>
        </w:tc>
        <w:tc>
          <w:tcPr>
            <w:tcW w:w="3168" w:type="dxa"/>
          </w:tcPr>
          <w:p w14:paraId="1035F691" w14:textId="77777777" w:rsidR="002C2EB6" w:rsidRPr="00115403" w:rsidRDefault="002B22F4">
            <w:r w:rsidRPr="00115403">
              <w:t>USD/original; ≤0,01:5; &gt;0,01–0,02:4; &gt;0,02–0,04:3; &gt;0,04–0,08:2; &gt;0,08:1</w:t>
            </w:r>
          </w:p>
        </w:tc>
      </w:tr>
    </w:tbl>
    <w:p w14:paraId="30EFC2CB" w14:textId="77777777" w:rsidR="002C2EB6" w:rsidRPr="00115403" w:rsidRDefault="002C2EB6"/>
    <w:p w14:paraId="7910BADD" w14:textId="77777777" w:rsidR="002C2EB6" w:rsidRPr="00115403" w:rsidRDefault="002B22F4">
      <w:r w:rsidRPr="00115403">
        <w:t>Para el candidato j se calculará PT_j = 25·s1j + 25·s2j + 20·s3j + 20·s4j + 10·s5j, donde cada sij es un entero 1–5 obtenido con las bandas fijadas y los coeficientes son pesos porcentuales; PT_j se expresa en puntos sobre 500, o se divide entre 5 para una escala 20–100. La elegibilidad se decide por separado y exige contrato y longitud válidos, todas las dimensiones humanas aplicables ≥3/4 y ausencia de banderas críticas. El cálculo no se realizará mientras falten C2, C3 o C5. Para C2–C3 debe congelarse primero la agregación por caso, porque el protocolo y el código previo difieren cuando la cobertura es desigual.</w:t>
      </w:r>
    </w:p>
    <w:p w14:paraId="11DDA2D1" w14:textId="77777777" w:rsidR="002C2EB6" w:rsidRPr="00115403" w:rsidRDefault="002B22F4">
      <w:pPr>
        <w:pStyle w:val="Ttulo2"/>
        <w:rPr>
          <w:color w:val="auto"/>
        </w:rPr>
      </w:pPr>
      <w:r w:rsidRPr="00115403">
        <w:rPr>
          <w:color w:val="auto"/>
        </w:rPr>
        <w:t>2.6. Procedimiento de ejecución y trazabilidad</w:t>
      </w:r>
    </w:p>
    <w:p w14:paraId="7EBBE4CB" w14:textId="77777777" w:rsidR="002C2EB6" w:rsidRPr="00115403" w:rsidRDefault="002B22F4">
      <w:r w:rsidRPr="00115403">
        <w:t xml:space="preserve">El orden de solicitudes se intercalará de manera reproducible mediante semilla experimental 20261007, distinta de una semilla del modelo. Se permitirá una solicitud activa a la vez. Cada caso </w:t>
      </w:r>
      <w:r w:rsidRPr="00115403">
        <w:lastRenderedPageBreak/>
        <w:t>se ejecutará tres veces por candidato. Se autoriza como máximo un reintento únicamente para fallos transitorios de transporte, 429, 5xx o tiempo agotado; no se reintentará por respuesta mal estructurada, incompatibilidad narrativa, rechazo, truncamiento o contenido inapropiado. El timeout experimental será de 85 segundos y no constituye un requisito RNF de la aplicación.</w:t>
      </w:r>
    </w:p>
    <w:p w14:paraId="09453AC8" w14:textId="77777777" w:rsidR="002C2EB6" w:rsidRPr="00115403" w:rsidRDefault="002B22F4">
      <w:r w:rsidRPr="00115403">
        <w:t>Para cada base e intento se conservarán: id de caso y operación, versión del corpus, hash o identificación del prompt, proveedor y modelo exacto, parámetros, inicio y fin, estado HTTP, cuerpo original, JSON analizado, estado de validación, tokens reportados, costos conocidos, evidencia de factura si existe, fallos y notas de revisión. El costo desconocido no se registrará como cero. Los archivos originales permanecerán separados de los transformados y de las tablas agregadas. Todo cambio a corpus, criterios, parámetros o tarifa exigirá una nueva versión del protocolo antes de nuevas ejecuciones.</w:t>
      </w:r>
    </w:p>
    <w:p w14:paraId="3FECC806" w14:textId="77777777" w:rsidR="002C2EB6" w:rsidRPr="00115403" w:rsidRDefault="002B22F4">
      <w:pPr>
        <w:pStyle w:val="Ttulo2"/>
        <w:rPr>
          <w:color w:val="auto"/>
        </w:rPr>
      </w:pPr>
      <w:r w:rsidRPr="00115403">
        <w:rPr>
          <w:color w:val="auto"/>
        </w:rPr>
        <w:t>2.7. Línea base y análisis</w:t>
      </w:r>
    </w:p>
    <w:p w14:paraId="79C25EF3" w14:textId="77777777" w:rsidR="002C2EB6" w:rsidRPr="00115403" w:rsidRDefault="002B22F4">
      <w:r w:rsidRPr="00115403">
        <w:t>La referencia de operación del prototipo es su integración textual provisional; sin embargo, no existe aún una medición de esa línea base con el corpus y las cinco métricas en las mismas condiciones. Por lo tanto, no se afirma superioridad de ningún candidato sobre el sistema actual. La próxima campaña deberá medir dicha referencia con los mismos casos o explicar formalmente por qué no es comparable. La primera ejecución ampliada se conserva como línea de factibilidad operativa y registro de incidencias, no como línea base de calidad C1–C5.</w:t>
      </w:r>
    </w:p>
    <w:p w14:paraId="30C18923" w14:textId="77777777" w:rsidR="002C2EB6" w:rsidRPr="00115403" w:rsidRDefault="002B22F4">
      <w:r w:rsidRPr="00115403">
        <w:t xml:space="preserve">El análisis definitivo informará por candidato cobertura de casos y llamadas, respuestas originales estructuralmente compatibles, puntuaciones humanas y concordancia, latencias por solicitud efectiva, consumo, costo conocido/desconocido, banderas críticas y aceptación. Se distinguirán el denominador de 50 operaciones lógicas del ensayo ampliado y las 36 solicitudes base por candidato del protocolo </w:t>
      </w:r>
      <w:r w:rsidRPr="00115403">
        <w:t>inicial. Las tasas 12/50, 7/50 y 46/50 no se usarán como porcentajes de C1: incluyen bloqueos operativos y dependencias no ejecutadas.</w:t>
      </w:r>
    </w:p>
    <w:p w14:paraId="0BB6DD1C" w14:textId="77777777" w:rsidR="00676E0C" w:rsidRDefault="00666CCA">
      <w:r>
        <w:t>2.8. Procedencia y control de datos</w:t>
      </w:r>
    </w:p>
    <w:p w14:paraId="014D230A" w14:textId="77777777" w:rsidR="00676E0C" w:rsidRDefault="00666CCA">
      <w:r>
        <w:t>El corpus de desarrollo contiene doce casos sintéticos de análisis, in</w:t>
      </w:r>
      <w:r>
        <w:t>icio, continuación y final narrativo (A01–F03), derivados de fichas internas de hechos y condiciones adversariales. La muestra ampliada usa cinco casos y dos repeticiones. Se separan respuestas HTTP originales, envoltorios interpretados y resúmenes agregad</w:t>
      </w:r>
      <w:r>
        <w:t>os; cada transformación debe conservar su vínculo con el ID y la versión del prompt. Fecha de captura, tamaño en bytes, hash y licencia de publicación del corpus deben consignarse en el manifiesto del repositorio antes de publicarlo. No se emplean datos id</w:t>
      </w:r>
      <w:r>
        <w:t>entificables de estudiantes.</w:t>
      </w:r>
    </w:p>
    <w:p w14:paraId="0745DC07" w14:textId="77777777" w:rsidR="002C2EB6" w:rsidRPr="00115403" w:rsidRDefault="002B22F4">
      <w:pPr>
        <w:pStyle w:val="Ttulo2"/>
        <w:rPr>
          <w:color w:val="auto"/>
        </w:rPr>
      </w:pPr>
      <w:r w:rsidRPr="00115403">
        <w:rPr>
          <w:color w:val="auto"/>
        </w:rPr>
        <w:t>2.9. Alcance, consideraciones éticas y limitaciones</w:t>
      </w:r>
    </w:p>
    <w:p w14:paraId="1E169E29" w14:textId="77777777" w:rsidR="002C2EB6" w:rsidRPr="00115403" w:rsidRDefault="002B22F4">
      <w:r w:rsidRPr="00115403">
        <w:t>La comparación se restringe a producción de texto y no permite estimar la mejora de comprensión lectora. El estudio educativo de la tesis considera por separado una aplicación futura de pretest y postest en estudiantes de cuarto, quinto y sexto grado de Scorza College, con población prevista de 55 y autorizaciones pertinentes. La comparación sintética no utilizará datos personales de menores. Se evaluará la generación educativa y la resistencia a instrucciones editoriales, pero la ausencia de fallos en 108 solicitudes previstas no garantizaría seguridad universal. Antes de una aplicación real, deben verificarse salvaguardas de salida, privacidad y supervisión humana (UNESCO, 2023).</w:t>
      </w:r>
    </w:p>
    <w:p w14:paraId="64BE50EA" w14:textId="77777777" w:rsidR="002C2EB6" w:rsidRPr="00115403" w:rsidRDefault="002B22F4">
      <w:pPr>
        <w:pStyle w:val="Ttulo1"/>
        <w:rPr>
          <w:color w:val="auto"/>
        </w:rPr>
      </w:pPr>
      <w:r w:rsidRPr="00115403">
        <w:rPr>
          <w:color w:val="auto"/>
        </w:rPr>
        <w:t>3. Resultados preliminares y limitaciones</w:t>
      </w:r>
    </w:p>
    <w:p w14:paraId="7433042C" w14:textId="77777777" w:rsidR="002C2EB6" w:rsidRPr="00115403" w:rsidRDefault="002B22F4">
      <w:r w:rsidRPr="00115403">
        <w:t xml:space="preserve">La primera ejecución ampliada registró 150 operaciones lógicas, 84 solicitudes HTTP, 65 operaciones completadas y 85 no completadas. Gemini 3.8 Flash completó 12 de 50 (24 %), Qwen 3.8 27B 7 de 50 (14 %) y GPT-OSS 20B </w:t>
      </w:r>
      <w:r w:rsidRPr="00115403">
        <w:lastRenderedPageBreak/>
        <w:t>46 de 50 (92 %). En los registros de la tesis se describen 16 HTTP 429, dos HTTP 503, un HTTP 400 y 66 operaciones dependency_failed que no originaron una petición adicional. Las restricciones de cuota gratuita de Gemini y de tokens de salida por minuto de Qwen, así como un fallo de contrato estructurado en GPT-OSS, impiden interpretar las diferencias como superioridad narrativa intrínseca. Las latencias medidas en solicitudes HTTP muestran medianas de 3736 ms, 269 ms y 741 ms para Gemini, Qwen y GPT-OSS, respectivamente, con coberturas desiguales; no representan C4 definitivo del protocolo completo. La valoración ciega C2–C3, el costo facturable total C5, la elegibilidad y los puntajes finales siguen pendientes. En consecuencia, no se identifica todavía un modelo ganador ni se infiere un efecto educativo.</w:t>
      </w:r>
    </w:p>
    <w:p w14:paraId="6434085D" w14:textId="77777777" w:rsidR="00676E0C" w:rsidRDefault="00666CCA">
      <w:r>
        <w:t>Tabla de resultados operativos de la primera ejecución ampliada (datos registrados en la tesis, sección 3.4.3)</w:t>
      </w:r>
    </w:p>
    <w:tbl>
      <w:tblPr>
        <w:tblStyle w:val="Tablaconcuadrcula"/>
        <w:tblW w:w="0" w:type="auto"/>
        <w:tblLook w:val="04A0" w:firstRow="1" w:lastRow="0" w:firstColumn="1" w:lastColumn="0" w:noHBand="0" w:noVBand="1"/>
      </w:tblPr>
      <w:tblGrid>
        <w:gridCol w:w="1031"/>
        <w:gridCol w:w="1504"/>
        <w:gridCol w:w="1053"/>
        <w:gridCol w:w="1020"/>
      </w:tblGrid>
      <w:tr w:rsidR="00676E0C" w14:paraId="66C20915" w14:textId="77777777">
        <w:tc>
          <w:tcPr>
            <w:tcW w:w="2376" w:type="dxa"/>
          </w:tcPr>
          <w:p w14:paraId="3B31C5B5" w14:textId="77777777" w:rsidR="00676E0C" w:rsidRDefault="00666CCA">
            <w:r>
              <w:t>Candidato</w:t>
            </w:r>
          </w:p>
        </w:tc>
        <w:tc>
          <w:tcPr>
            <w:tcW w:w="2376" w:type="dxa"/>
          </w:tcPr>
          <w:p w14:paraId="7F7A7622" w14:textId="77777777" w:rsidR="00676E0C" w:rsidRDefault="00666CCA">
            <w:r>
              <w:t>Completadas/50</w:t>
            </w:r>
          </w:p>
        </w:tc>
        <w:tc>
          <w:tcPr>
            <w:tcW w:w="2376" w:type="dxa"/>
          </w:tcPr>
          <w:p w14:paraId="1812FE33" w14:textId="77777777" w:rsidR="00676E0C" w:rsidRDefault="00666CCA">
            <w:r>
              <w:t>Porcentaje</w:t>
            </w:r>
          </w:p>
        </w:tc>
        <w:tc>
          <w:tcPr>
            <w:tcW w:w="2376" w:type="dxa"/>
          </w:tcPr>
          <w:p w14:paraId="2BAEAA25" w14:textId="77777777" w:rsidR="00676E0C" w:rsidRDefault="00666CCA">
            <w:r>
              <w:t>Mediana HTTP observada</w:t>
            </w:r>
          </w:p>
        </w:tc>
      </w:tr>
      <w:tr w:rsidR="00676E0C" w14:paraId="15EABF3D" w14:textId="77777777">
        <w:tc>
          <w:tcPr>
            <w:tcW w:w="2376" w:type="dxa"/>
          </w:tcPr>
          <w:p w14:paraId="3CE35AF2" w14:textId="77777777" w:rsidR="00676E0C" w:rsidRDefault="00666CCA">
            <w:r>
              <w:t>Gemini 3.8 Flash</w:t>
            </w:r>
          </w:p>
        </w:tc>
        <w:tc>
          <w:tcPr>
            <w:tcW w:w="2376" w:type="dxa"/>
          </w:tcPr>
          <w:p w14:paraId="7924DA77" w14:textId="77777777" w:rsidR="00676E0C" w:rsidRDefault="00666CCA">
            <w:r>
              <w:t>12/50</w:t>
            </w:r>
          </w:p>
        </w:tc>
        <w:tc>
          <w:tcPr>
            <w:tcW w:w="2376" w:type="dxa"/>
          </w:tcPr>
          <w:p w14:paraId="15DDFE4B" w14:textId="77777777" w:rsidR="00676E0C" w:rsidRDefault="00666CCA">
            <w:r>
              <w:t xml:space="preserve">24 </w:t>
            </w:r>
            <w:r>
              <w:t>%</w:t>
            </w:r>
          </w:p>
        </w:tc>
        <w:tc>
          <w:tcPr>
            <w:tcW w:w="2376" w:type="dxa"/>
          </w:tcPr>
          <w:p w14:paraId="00714EDA" w14:textId="77777777" w:rsidR="00676E0C" w:rsidRDefault="00666CCA">
            <w:r>
              <w:t>3736 ms</w:t>
            </w:r>
          </w:p>
        </w:tc>
      </w:tr>
      <w:tr w:rsidR="00676E0C" w14:paraId="60AD444D" w14:textId="77777777">
        <w:tc>
          <w:tcPr>
            <w:tcW w:w="2376" w:type="dxa"/>
          </w:tcPr>
          <w:p w14:paraId="69B749EC" w14:textId="77777777" w:rsidR="00676E0C" w:rsidRDefault="00666CCA">
            <w:r>
              <w:t>Qwen 3.8 27B</w:t>
            </w:r>
          </w:p>
        </w:tc>
        <w:tc>
          <w:tcPr>
            <w:tcW w:w="2376" w:type="dxa"/>
          </w:tcPr>
          <w:p w14:paraId="379BC202" w14:textId="77777777" w:rsidR="00676E0C" w:rsidRDefault="00666CCA">
            <w:r>
              <w:t>7/50</w:t>
            </w:r>
          </w:p>
        </w:tc>
        <w:tc>
          <w:tcPr>
            <w:tcW w:w="2376" w:type="dxa"/>
          </w:tcPr>
          <w:p w14:paraId="6D6E8BA8" w14:textId="77777777" w:rsidR="00676E0C" w:rsidRDefault="00666CCA">
            <w:r>
              <w:t>14 %</w:t>
            </w:r>
          </w:p>
        </w:tc>
        <w:tc>
          <w:tcPr>
            <w:tcW w:w="2376" w:type="dxa"/>
          </w:tcPr>
          <w:p w14:paraId="44F0B06E" w14:textId="77777777" w:rsidR="00676E0C" w:rsidRDefault="00666CCA">
            <w:r>
              <w:t>269 ms</w:t>
            </w:r>
          </w:p>
        </w:tc>
      </w:tr>
      <w:tr w:rsidR="00676E0C" w14:paraId="61A74F8D" w14:textId="77777777">
        <w:tc>
          <w:tcPr>
            <w:tcW w:w="2376" w:type="dxa"/>
          </w:tcPr>
          <w:p w14:paraId="72221DBA" w14:textId="77777777" w:rsidR="00676E0C" w:rsidRDefault="00666CCA">
            <w:r>
              <w:t>GPT-OSS 20B</w:t>
            </w:r>
          </w:p>
        </w:tc>
        <w:tc>
          <w:tcPr>
            <w:tcW w:w="2376" w:type="dxa"/>
          </w:tcPr>
          <w:p w14:paraId="21DB6E05" w14:textId="77777777" w:rsidR="00676E0C" w:rsidRDefault="00666CCA">
            <w:r>
              <w:t>46/50</w:t>
            </w:r>
          </w:p>
        </w:tc>
        <w:tc>
          <w:tcPr>
            <w:tcW w:w="2376" w:type="dxa"/>
          </w:tcPr>
          <w:p w14:paraId="7A187C9F" w14:textId="77777777" w:rsidR="00676E0C" w:rsidRDefault="00666CCA">
            <w:r>
              <w:t>92 %</w:t>
            </w:r>
          </w:p>
        </w:tc>
        <w:tc>
          <w:tcPr>
            <w:tcW w:w="2376" w:type="dxa"/>
          </w:tcPr>
          <w:p w14:paraId="1871D28E" w14:textId="77777777" w:rsidR="00676E0C" w:rsidRDefault="00666CCA">
            <w:r>
              <w:t>741 ms</w:t>
            </w:r>
          </w:p>
        </w:tc>
      </w:tr>
    </w:tbl>
    <w:p w14:paraId="6AA3B660" w14:textId="77777777" w:rsidR="00676E0C" w:rsidRDefault="00666CCA">
      <w:r>
        <w:t>Nota. Tasas de operaciones lógicas completadas, no C1 ni ranking de calidad; medianas sobre solicitudes HTTP con distinta cobertura. Elaboración a partir de la Tabla 19 de la tesis ac</w:t>
      </w:r>
      <w:r>
        <w:t>tualizada.</w:t>
      </w:r>
    </w:p>
    <w:p w14:paraId="25987F22" w14:textId="77777777" w:rsidR="002C2EB6" w:rsidRPr="00115403" w:rsidRDefault="002B22F4">
      <w:pPr>
        <w:pStyle w:val="Ttulo1"/>
        <w:rPr>
          <w:color w:val="auto"/>
        </w:rPr>
      </w:pPr>
      <w:r w:rsidRPr="00115403">
        <w:rPr>
          <w:color w:val="auto"/>
        </w:rPr>
        <w:t>Referencias</w:t>
      </w:r>
    </w:p>
    <w:p w14:paraId="6651F14C" w14:textId="77777777" w:rsidR="002C2EB6" w:rsidRPr="00115403" w:rsidRDefault="002B22F4">
      <w:pPr>
        <w:spacing w:after="80"/>
        <w:ind w:left="360" w:hanging="360"/>
      </w:pPr>
      <w:r w:rsidRPr="00115403">
        <w:t xml:space="preserve">AlZuhair, N. F., &amp; Alkhuzaim, K. M. (2022). The effectiveness of a gamified electronic application in developing reading comprehension abilities among first-grade </w:t>
      </w:r>
      <w:r w:rsidRPr="00115403">
        <w:t>intermediate students in Saudi Arabia. Education Research International, 2022, 7677140. https://doi.org/10.1155/2022/7677140</w:t>
      </w:r>
    </w:p>
    <w:p w14:paraId="34BB3BB8" w14:textId="77777777" w:rsidR="002C2EB6" w:rsidRPr="00115403" w:rsidRDefault="002B22F4">
      <w:pPr>
        <w:spacing w:after="80"/>
        <w:ind w:left="360" w:hanging="360"/>
      </w:pPr>
      <w:r w:rsidRPr="00115403">
        <w:t>Cattoni, A., Anderle, F., Venuti, P., &amp; Pasqualotto, A. (2024). How to improve reading and writing skills in primary schools: A comparison between gamification and pen-and-paper training. International Journal of Child-Computer Interaction, 39, 100633. https://doi.org/10.1016/j.ijcci.2024.100633</w:t>
      </w:r>
    </w:p>
    <w:p w14:paraId="0DEEDC96" w14:textId="77777777" w:rsidR="002C2EB6" w:rsidRPr="00115403" w:rsidRDefault="002B22F4">
      <w:pPr>
        <w:spacing w:after="80"/>
        <w:ind w:left="360" w:hanging="360"/>
      </w:pPr>
      <w:r w:rsidRPr="00115403">
        <w:t>Google. (2026). Gemini 3.8 Flash [Ficha oficial del modelo]. Google AI for Developers. https://ai.google.dev/gemini-api/docs/models/gemini-3.8-flash</w:t>
      </w:r>
    </w:p>
    <w:p w14:paraId="70A2E86B" w14:textId="77777777" w:rsidR="002C2EB6" w:rsidRPr="00115403" w:rsidRDefault="002B22F4">
      <w:pPr>
        <w:spacing w:after="80"/>
        <w:ind w:left="360" w:hanging="360"/>
      </w:pPr>
      <w:r>
        <w:t>Groq. (2026a). Qwen/Qwen3.8-27B [Ficha oficial del modelo]. GroqDocs. https://console.groq.com/docs/model/qwen/qwen3.8-27b</w:t>
      </w:r>
    </w:p>
    <w:p w14:paraId="1FA32A00" w14:textId="77777777" w:rsidR="002C2EB6" w:rsidRPr="00115403" w:rsidRDefault="002B22F4">
      <w:pPr>
        <w:spacing w:after="80"/>
        <w:ind w:left="360" w:hanging="360"/>
      </w:pPr>
      <w:r>
        <w:t>Groq. (2026b). GPT OSS 20B [Ficha oficial del modelo]. GroqDocs. https://console.groq.com/docs/model/openai/gpt-oss-20b</w:t>
      </w:r>
    </w:p>
    <w:p w14:paraId="1F9118B2" w14:textId="77777777" w:rsidR="002C2EB6" w:rsidRPr="00115403" w:rsidRDefault="002B22F4">
      <w:pPr>
        <w:spacing w:after="80"/>
        <w:ind w:left="360" w:hanging="360"/>
      </w:pPr>
      <w:r w:rsidRPr="00115403">
        <w:t>Hong, Y., Saab, N., &amp; Admiraal, W. (2024). Approaches and game elements used to tailor digital gamification for learning: A systematic literature review. Computers &amp; Education, 212, 105000. https://doi.org/10.1016/j.compedu.2024.105000</w:t>
      </w:r>
    </w:p>
    <w:p w14:paraId="1C6D32F7" w14:textId="77777777" w:rsidR="002C2EB6" w:rsidRPr="00115403" w:rsidRDefault="002B22F4">
      <w:pPr>
        <w:spacing w:after="80"/>
        <w:ind w:left="360" w:hanging="360"/>
      </w:pPr>
      <w:r w:rsidRPr="00115403">
        <w:t>Kaban, A. L. (2021). Gamified E-reading experiences and their impact on reading comprehension and attitude in EFL classes. International Journal of Mobile and Blended Learning, 13(3), 71–90. https://doi.org/10.4018/IJMBL.2021070105</w:t>
      </w:r>
    </w:p>
    <w:p w14:paraId="24490074" w14:textId="77777777" w:rsidR="002C2EB6" w:rsidRPr="00115403" w:rsidRDefault="002B22F4">
      <w:pPr>
        <w:spacing w:after="80"/>
        <w:ind w:left="360" w:hanging="360"/>
      </w:pPr>
      <w:r w:rsidRPr="00115403">
        <w:t>Krath, J., Schürmann, L., &amp; von Korflesch, H. F. O. (2021). Revealing the theoretical basis of gamification: A systematic review and analysis of theory in research on gamification, serious games and game-based learning. Computers in Human Behavior, 125, 106963. https://doi.org/10.1016/j.chb.2021.106963</w:t>
      </w:r>
    </w:p>
    <w:p w14:paraId="518EFCE5" w14:textId="77777777" w:rsidR="002C2EB6" w:rsidRPr="00115403" w:rsidRDefault="002B22F4">
      <w:pPr>
        <w:spacing w:after="80"/>
        <w:ind w:left="360" w:hanging="360"/>
      </w:pPr>
      <w:r w:rsidRPr="00115403">
        <w:lastRenderedPageBreak/>
        <w:t>Organización para la Cooperación y el Desarrollo Económicos. (2023). PISA 2022 Results (Volume I and II): Country notes—Peru. OECD Publishing. https://www.oecd.org/en/publications/pisa-2022-results-volume-i-and-ii-country-notes_ed6fbcc5-en/peru_3e71791c-en.html</w:t>
      </w:r>
    </w:p>
    <w:p w14:paraId="7588AE30" w14:textId="77777777" w:rsidR="002C2EB6" w:rsidRPr="00115403" w:rsidRDefault="002B22F4">
      <w:pPr>
        <w:spacing w:after="80"/>
        <w:ind w:left="360" w:hanging="360"/>
      </w:pPr>
      <w:r w:rsidRPr="00115403">
        <w:t>Santos Lescano, A. J. (2023). Implementación de un sistema web basado en gamificación para mejorar la comprensión lectora de niños de educación primaria en los colegios públicos de Lima [Tesis de pregrado, Universidad Nacional Mayor de San Marcos]. Repositorio institucional Cybertesis UNMSM. https://hdl.handle.net/20.500.12672/20471</w:t>
      </w:r>
    </w:p>
    <w:p w14:paraId="178F4ED7" w14:textId="77777777" w:rsidR="002C2EB6" w:rsidRPr="00115403" w:rsidRDefault="002B22F4">
      <w:pPr>
        <w:spacing w:after="80"/>
        <w:ind w:left="360" w:hanging="360"/>
      </w:pPr>
      <w:r w:rsidRPr="00115403">
        <w:t>UNESCO. (2023). Guidance for generative AI in education and research. https://www.unesco.org/en/articles/guidance-generative-ai-education-and-research</w:t>
      </w:r>
    </w:p>
    <w:p w14:paraId="6FD05B0E" w14:textId="77777777" w:rsidR="002C2EB6" w:rsidRPr="00115403" w:rsidRDefault="002C2EB6"/>
    <w:sectPr w:rsidR="002C2EB6" w:rsidRPr="00115403" w:rsidSect="00D02696">
      <w:type w:val="continuous"/>
      <w:pgSz w:w="12240" w:h="15840"/>
      <w:pgMar w:top="1224" w:right="1368" w:bottom="1224" w:left="1368"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E41C0" w14:textId="77777777" w:rsidR="00666CCA" w:rsidRDefault="00666CCA">
      <w:pPr>
        <w:spacing w:after="0" w:line="240" w:lineRule="auto"/>
      </w:pPr>
      <w:r>
        <w:separator/>
      </w:r>
    </w:p>
  </w:endnote>
  <w:endnote w:type="continuationSeparator" w:id="0">
    <w:p w14:paraId="4191EFC9" w14:textId="77777777" w:rsidR="00666CCA" w:rsidRDefault="00666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BDEA" w14:textId="77777777" w:rsidR="002C2EB6" w:rsidRDefault="002C2EB6">
    <w:pPr>
      <w:pStyle w:val="Piedepgina"/>
      <w:jc w:val="center"/>
    </w:pPr>
  </w:p>
  <w:p w14:paraId="1BB2A1A3" w14:textId="77777777" w:rsidR="00D02696" w:rsidRDefault="00D02696">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D1267" w14:textId="77777777" w:rsidR="00666CCA" w:rsidRDefault="00666CCA">
      <w:pPr>
        <w:spacing w:after="0" w:line="240" w:lineRule="auto"/>
      </w:pPr>
      <w:r>
        <w:separator/>
      </w:r>
    </w:p>
  </w:footnote>
  <w:footnote w:type="continuationSeparator" w:id="0">
    <w:p w14:paraId="4CA0A31D" w14:textId="77777777" w:rsidR="00666CCA" w:rsidRDefault="00666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403"/>
    <w:rsid w:val="0015074B"/>
    <w:rsid w:val="001F042D"/>
    <w:rsid w:val="0029639D"/>
    <w:rsid w:val="002B22F4"/>
    <w:rsid w:val="002C2EB6"/>
    <w:rsid w:val="00326F90"/>
    <w:rsid w:val="003B6A56"/>
    <w:rsid w:val="005230A7"/>
    <w:rsid w:val="00666CCA"/>
    <w:rsid w:val="00676E0C"/>
    <w:rsid w:val="00AA1D8D"/>
    <w:rsid w:val="00B47730"/>
    <w:rsid w:val="00CB0664"/>
    <w:rsid w:val="00D026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61DC1"/>
  <w14:defaultImageDpi w14:val="300"/>
  <w15:docId w15:val="{BC6FBF7B-2486-449E-83BB-7A588855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9314A"/>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9314A"/>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14A"/>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3596</Words>
  <Characters>19783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Alexander Zagaceta Vasquez</cp:lastModifiedBy>
  <cp:revision>6</cp:revision>
  <dcterms:created xsi:type="dcterms:W3CDTF">2013-12-23T23:15:00Z</dcterms:created>
  <dcterms:modified xsi:type="dcterms:W3CDTF">2026-10-10T06:53:00Z</dcterms:modified>
  <cp:category/>
</cp:coreProperties>
</file>