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4338CA"/>
          <w:sz w:val="20"/>
          <w:szCs w:val="20"/>
        </w:rPr>
        <w:t xml:space="preserve">RESPONSE TO PANEL COMMENTS</w:t>
      </w:r>
    </w:p>
    <w:p>
      <w:pPr>
        <w:spacing w:after="120"/>
      </w:pPr>
      <w:r>
        <w:rPr>
          <w:b/>
          <w:bCs/>
          <w:color w:val="1E1B4B"/>
          <w:sz w:val="44"/>
          <w:szCs w:val="44"/>
        </w:rPr>
        <w:t xml:space="preserve">Manuscript Revision Guide</w:t>
      </w:r>
    </w:p>
    <w:p>
      <w:pPr>
        <w:spacing w:after="120" w:line="276"/>
      </w:pPr>
      <w:r>
        <w:rPr>
          <w:color w:val="374151"/>
          <w:sz w:val="24"/>
          <w:szCs w:val="24"/>
        </w:rPr>
        <w:t xml:space="preserve">AI-Assisted Learning Analytics System for Student Performance Monitoring and Early Academic Intervention</w:t>
      </w:r>
    </w:p>
    <w:p>
      <w:pPr>
        <w:spacing w:after="120" w:line="276"/>
      </w:pPr>
      <w:r>
        <w:rPr>
          <w:color w:val="6B7280"/>
        </w:rPr>
        <w:t xml:space="preserve">Mark Joeven C. Orpilla · Dalubhasaang Politekniko ng Lungsod ng Baliwag (BTECH)</w:t>
      </w:r>
    </w:p>
    <w:p>
      <w:pPr>
        <w:spacing w:after="120" w:line="276"/>
      </w:pPr>
      <w:r>
        <w:rPr>
          <w:color w:val="6B7280"/>
          <w:sz w:val="18"/>
          <w:szCs w:val="18"/>
        </w:rPr>
        <w:t xml:space="preserve">Prepared 27 October 2026 · Reference: panelist's review of the revised manuscript and Compliance Matrix</w:t>
      </w:r>
    </w:p>
    <w:p>
      <w:pPr>
        <w:pBdr>
          <w:bottom w:val="single" w:color="4338CA" w:sz="8" w:space="4"/>
        </w:pBdr>
        <w:spacing w:after="200"/>
      </w:pPr>
    </w:p>
    <w:p>
      <w:pPr>
        <w:pStyle w:val="Heading1"/>
      </w:pPr>
      <w:r>
        <w:t xml:space="preserve">How to use this document</w:t>
      </w:r>
    </w:p>
    <w:p>
      <w:pPr>
        <w:spacing w:after="120" w:line="276"/>
      </w:pPr>
      <w:r>
        <w:t xml:space="preserve">Each of the panelist's ten comments is handled in its own section with four parts:</w:t>
      </w:r>
    </w:p>
    <w:p>
      <w:pPr>
        <w:pStyle w:val="ListParagraph"/>
        <w:numPr>
          <w:ilvl w:val="0"/>
          <w:numId w:val="2"/>
        </w:numPr>
        <w:spacing w:after="60" w:line="264"/>
      </w:pPr>
      <w:r>
        <w:rPr>
          <w:b/>
          <w:bCs/>
        </w:rPr>
        <w:t xml:space="preserve">Panelist's comment</w:t>
      </w:r>
      <w:r>
        <w:t xml:space="preserve"> — the comment as written in the review.</w:t>
      </w:r>
    </w:p>
    <w:p>
      <w:pPr>
        <w:pStyle w:val="ListParagraph"/>
        <w:numPr>
          <w:ilvl w:val="0"/>
          <w:numId w:val="2"/>
        </w:numPr>
        <w:spacing w:after="60" w:line="264"/>
      </w:pPr>
      <w:r>
        <w:rPr>
          <w:b/>
          <w:bCs/>
        </w:rPr>
        <w:t xml:space="preserve">Current manuscript text</w:t>
      </w:r>
      <w:r>
        <w:t xml:space="preserve"> — the passages in MJCO_CAPSTONE_92726.docx that the comment applies to.</w:t>
      </w:r>
    </w:p>
    <w:p>
      <w:pPr>
        <w:pStyle w:val="ListParagraph"/>
        <w:numPr>
          <w:ilvl w:val="0"/>
          <w:numId w:val="2"/>
        </w:numPr>
        <w:spacing w:after="60" w:line="264"/>
      </w:pPr>
      <w:r>
        <w:rPr>
          <w:b/>
          <w:bCs/>
        </w:rPr>
        <w:t xml:space="preserve">What the system actually does</w:t>
      </w:r>
      <w:r>
        <w:t xml:space="preserve"> — so the revised text matches the implemented AILAS system.</w:t>
      </w:r>
    </w:p>
    <w:p>
      <w:pPr>
        <w:pStyle w:val="ListParagraph"/>
        <w:numPr>
          <w:ilvl w:val="0"/>
          <w:numId w:val="2"/>
        </w:numPr>
        <w:spacing w:after="60" w:line="264"/>
      </w:pPr>
      <w:r>
        <w:rPr>
          <w:b/>
          <w:bCs/>
        </w:rPr>
        <w:t xml:space="preserve">Revised text</w:t>
      </w:r>
      <w:r>
        <w:t xml:space="preserve"> — wording you can paste into the manuscript, with the section it belongs to. Text in [square brackets] needs a BTECH document, a number or a decision before it is final.</w:t>
      </w:r>
    </w:p>
    <w:p>
      <w:pPr>
        <w:spacing w:after="120" w:line="276"/>
      </w:pPr>
      <w:r>
        <w:t xml:space="preserve">Section 12 lists the questions to settle with your adviser and BTECH before revising, and Section 13 gives likely redefense questions with suggested answers. As the panelist asked, discuss all of these with your adviser before making the revisions.</w:t>
      </w:r>
    </w:p>
    <w:p>
      <w:pPr>
        <w:spacing w:after="120" w:line="276"/>
      </w:pPr>
      <w:r>
        <w:t xml:space="preserve">Colour key used in the boxes:</w:t>
      </w:r>
    </w:p>
    <w:p>
      <w:pPr>
        <w:pBdr>
          <w:left w:val="single" w:color="9CA3AF" w:sz="18" w:space="8"/>
        </w:pBdr>
        <w:shd w:fill="F3F4F6" w:color="auto" w:val="clear"/>
        <w:spacing w:after="160" w:line="264"/>
        <w:ind w:left="200" w:right="120"/>
      </w:pPr>
      <w:r>
        <w:rPr>
          <w:sz w:val="20"/>
          <w:szCs w:val="20"/>
        </w:rPr>
        <w:t xml:space="preserve">Grey — the panelist's comment</w:t>
      </w:r>
    </w:p>
    <w:p>
      <w:pPr>
        <w:pBdr>
          <w:left w:val="single" w:color="DC2626" w:sz="18" w:space="8"/>
        </w:pBdr>
        <w:shd w:fill="FEF2F2" w:color="auto" w:val="clear"/>
        <w:spacing w:after="160" w:line="264"/>
        <w:ind w:left="200" w:right="120"/>
      </w:pPr>
      <w:r>
        <w:rPr>
          <w:sz w:val="20"/>
          <w:szCs w:val="20"/>
        </w:rPr>
        <w:t xml:space="preserve">Red — current manuscript text to replace</w:t>
      </w:r>
    </w:p>
    <w:p>
      <w:pPr>
        <w:pBdr>
          <w:left w:val="single" w:color="059669" w:sz="18" w:space="8"/>
        </w:pBdr>
        <w:shd w:fill="ECFDF5" w:color="auto" w:val="clear"/>
        <w:spacing w:after="160" w:line="264"/>
        <w:ind w:left="200" w:right="120"/>
      </w:pPr>
      <w:r>
        <w:rPr>
          <w:sz w:val="20"/>
          <w:szCs w:val="20"/>
        </w:rPr>
        <w:t xml:space="preserve">Green — revised text to paste</w:t>
      </w:r>
    </w:p>
    <w:p>
      <w:pPr>
        <w:pStyle w:val="Heading1"/>
      </w:pPr>
      <w:r>
        <w:t xml:space="preserve">Summary of comments and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860"/>
        <w:gridCol w:w="2000"/>
      </w:tblGrid>
      <w:tr>
        <w:trPr>
          <w:tblHeader/>
        </w:trPr>
        <w:tc>
          <w:tcPr>
            <w:tcW w:type="dxa" w:w="500"/>
            <w:tcBorders>
              <w:top w:val="single" w:color="D1D5DB" w:sz="4"/>
              <w:left w:val="single" w:color="D1D5DB" w:sz="4"/>
              <w:bottom w:val="single" w:color="D1D5DB" w:sz="4"/>
              <w:right w:val="single" w:color="D1D5DB" w:sz="4"/>
            </w:tcBorders>
            <w:shd w:fill="1E1B4B" w:color="auto" w:val="clear"/>
            <w:tcMar>
              <w:top w:type="dxa" w:w="70"/>
              <w:left w:type="dxa" w:w="110"/>
              <w:bottom w:type="dxa" w:w="70"/>
              <w:right w:type="dxa" w:w="110"/>
            </w:tcMar>
          </w:tcPr>
          <w:p>
            <w:pPr>
              <w:spacing w:after="20"/>
            </w:pPr>
            <w:r>
              <w:rPr>
                <w:b/>
                <w:bCs/>
                <w:color w:val="FFFFFF"/>
                <w:sz w:val="18"/>
                <w:szCs w:val="18"/>
              </w:rPr>
              <w:t xml:space="preserve">#</w:t>
            </w:r>
          </w:p>
        </w:tc>
        <w:tc>
          <w:tcPr>
            <w:tcW w:type="dxa" w:w="3000"/>
            <w:tcBorders>
              <w:top w:val="single" w:color="D1D5DB" w:sz="4"/>
              <w:left w:val="single" w:color="D1D5DB" w:sz="4"/>
              <w:bottom w:val="single" w:color="D1D5DB" w:sz="4"/>
              <w:right w:val="single" w:color="D1D5DB" w:sz="4"/>
            </w:tcBorders>
            <w:shd w:fill="1E1B4B" w:color="auto" w:val="clear"/>
            <w:tcMar>
              <w:top w:type="dxa" w:w="70"/>
              <w:left w:type="dxa" w:w="110"/>
              <w:bottom w:type="dxa" w:w="70"/>
              <w:right w:type="dxa" w:w="110"/>
            </w:tcMar>
          </w:tcPr>
          <w:p>
            <w:pPr>
              <w:spacing w:after="20"/>
            </w:pPr>
            <w:r>
              <w:rPr>
                <w:b/>
                <w:bCs/>
                <w:color w:val="FFFFFF"/>
                <w:sz w:val="18"/>
                <w:szCs w:val="18"/>
              </w:rPr>
              <w:t xml:space="preserve">Panel comment</w:t>
            </w:r>
          </w:p>
        </w:tc>
        <w:tc>
          <w:tcPr>
            <w:tcW w:type="dxa" w:w="3860"/>
            <w:tcBorders>
              <w:top w:val="single" w:color="D1D5DB" w:sz="4"/>
              <w:left w:val="single" w:color="D1D5DB" w:sz="4"/>
              <w:bottom w:val="single" w:color="D1D5DB" w:sz="4"/>
              <w:right w:val="single" w:color="D1D5DB" w:sz="4"/>
            </w:tcBorders>
            <w:shd w:fill="1E1B4B" w:color="auto" w:val="clear"/>
            <w:tcMar>
              <w:top w:type="dxa" w:w="70"/>
              <w:left w:type="dxa" w:w="110"/>
              <w:bottom w:type="dxa" w:w="70"/>
              <w:right w:type="dxa" w:w="110"/>
            </w:tcMar>
          </w:tcPr>
          <w:p>
            <w:pPr>
              <w:spacing w:after="20"/>
            </w:pPr>
            <w:r>
              <w:rPr>
                <w:b/>
                <w:bCs/>
                <w:color w:val="FFFFFF"/>
                <w:sz w:val="18"/>
                <w:szCs w:val="18"/>
              </w:rPr>
              <w:t xml:space="preserve">Manuscript sections affected</w:t>
            </w:r>
          </w:p>
        </w:tc>
        <w:tc>
          <w:tcPr>
            <w:tcW w:type="dxa" w:w="2000"/>
            <w:tcBorders>
              <w:top w:val="single" w:color="D1D5DB" w:sz="4"/>
              <w:left w:val="single" w:color="D1D5DB" w:sz="4"/>
              <w:bottom w:val="single" w:color="D1D5DB" w:sz="4"/>
              <w:right w:val="single" w:color="D1D5DB" w:sz="4"/>
            </w:tcBorders>
            <w:shd w:fill="1E1B4B" w:color="auto" w:val="clear"/>
            <w:tcMar>
              <w:top w:type="dxa" w:w="70"/>
              <w:left w:type="dxa" w:w="110"/>
              <w:bottom w:type="dxa" w:w="70"/>
              <w:right w:type="dxa" w:w="110"/>
            </w:tcMar>
          </w:tcPr>
          <w:p>
            <w:pPr>
              <w:spacing w:after="20"/>
            </w:pPr>
            <w:r>
              <w:rPr>
                <w:b/>
                <w:bCs/>
                <w:color w:val="FFFFFF"/>
                <w:sz w:val="18"/>
                <w:szCs w:val="18"/>
              </w:rPr>
              <w:t xml:space="preserve">Needs BTECH input?</w:t>
            </w:r>
          </w:p>
        </w:tc>
      </w:tr>
      <w:t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1</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Faculty-validated ground truth for AI mapping accuracy</w:t>
            </w:r>
          </w:p>
        </w:tc>
        <w:tc>
          <w:tcPr>
            <w:tcW w:type="dxa" w:w="38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§3.6.1 Step 6, §3.6.2, new §3.6.3, Objective-to-Method Matrix (Obj 2), §3.8.1, References</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Yes — validators and pilot items</w:t>
            </w:r>
          </w:p>
        </w:tc>
      </w:tr>
      <w:t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2</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Justify or institutionally validate the at-risk thresholds</w:t>
            </w:r>
          </w:p>
        </w:tc>
        <w:tc>
          <w:tcPr>
            <w:tcW w:type="dxa" w:w="38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§3.8.2 (logic, formula, Theoretical Foundation), Appendix</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Yes — grading policy and validation memo</w:t>
            </w:r>
          </w:p>
        </w:tc>
      </w:tr>
      <w:t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3</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Define exactly when an intervention is "early"</w:t>
            </w:r>
          </w:p>
        </w:tc>
        <w:tc>
          <w:tcPr>
            <w:tcW w:type="dxa" w:w="38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§1.5 Definition of Terms, §3.8.1, §3.11.2 Phase 3, Scope</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Yes — agree on the cut-off points</w:t>
            </w:r>
          </w:p>
        </w:tc>
      </w:tr>
      <w:t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4</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Present the real contribution; do not oversell</w:t>
            </w:r>
          </w:p>
        </w:tc>
        <w:tc>
          <w:tcPr>
            <w:tcW w:type="dxa" w:w="38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Ch. 1 Rationale/Significance, Objective 2, Ch. 2 synthesis, §3.11.2</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No</w:t>
            </w:r>
          </w:p>
        </w:tc>
      </w:tr>
      <w:t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5</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Replace "real-time" terminology</w:t>
            </w:r>
          </w:p>
        </w:tc>
        <w:tc>
          <w:tcPr>
            <w:tcW w:type="dxa" w:w="38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§3.1 Output, §3.11.2 Phase 3</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No</w:t>
            </w:r>
          </w:p>
        </w:tc>
      </w:tr>
      <w:t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6</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State what is sent to the AI provider; keep scores local</w:t>
            </w:r>
          </w:p>
        </w:tc>
        <w:tc>
          <w:tcPr>
            <w:tcW w:type="dxa" w:w="38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§3.6.1 Step 3, §3.9.1</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No</w:t>
            </w:r>
          </w:p>
        </w:tc>
      </w:tr>
      <w:t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7</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Verify "zero data retention"</w:t>
            </w:r>
          </w:p>
        </w:tc>
        <w:tc>
          <w:tcPr>
            <w:tcW w:type="dxa" w:w="38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§3.9.1, Appendix (evidence)</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Yes — API account evidence</w:t>
            </w:r>
          </w:p>
        </w:tc>
      </w:tr>
      <w:t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8</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One architecture term; one backend framework</w:t>
            </w:r>
          </w:p>
        </w:tc>
        <w:tc>
          <w:tcPr>
            <w:tcW w:type="dxa" w:w="38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§2.2.2, §3.3 (text and figure), Obj 1 matrix, §3.5 tools table, References</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No</w:t>
            </w:r>
          </w:p>
        </w:tc>
      </w:tr>
      <w:t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9</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Separate rule-based from AI-assisted parts of Objective 3</w:t>
            </w:r>
          </w:p>
        </w:tc>
        <w:tc>
          <w:tcPr>
            <w:tcW w:type="dxa" w:w="38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§1.2 Objective 3, Objective-to-Method Matrix (Obj 3)</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No</w:t>
            </w:r>
          </w:p>
        </w:tc>
      </w:tr>
      <w:tr>
        <w:tc>
          <w:tcPr>
            <w:tcW w:type="dxa" w:w="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10</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Correct the Compliance Matrix (SUS, endorsement status)</w:t>
            </w:r>
          </w:p>
        </w:tc>
        <w:tc>
          <w:tcPr>
            <w:tcW w:type="dxa" w:w="38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Compliance Matrix</w:t>
            </w:r>
          </w:p>
        </w:tc>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Yes — signed endorsement</w:t>
            </w:r>
          </w:p>
        </w:tc>
      </w:tr>
    </w:tbl>
    <w:p>
      <w:pPr>
        <w:spacing w:after="120"/>
      </w:pPr>
    </w:p>
    <w:p>
      <w:r>
        <w:br w:type="page"/>
      </w:r>
    </w:p>
    <w:p>
      <w:pPr>
        <w:pStyle w:val="Heading1"/>
      </w:pPr>
      <w:r>
        <w:t xml:space="preserve">1. Validation of the AI competency mapping</w:t>
      </w:r>
    </w:p>
    <w:p>
      <w:pPr>
        <w:spacing w:before="160" w:after="60"/>
      </w:pPr>
      <w:r>
        <w:rPr>
          <w:b/>
          <w:bCs/>
          <w:color w:val="6B7280"/>
          <w:sz w:val="17"/>
          <w:szCs w:val="17"/>
        </w:rPr>
        <w:t xml:space="preserve">PANELIST'S COMMENT</w:t>
      </w:r>
    </w:p>
    <w:p>
      <w:pPr>
        <w:pBdr>
          <w:left w:val="single" w:color="9CA3AF" w:sz="18" w:space="8"/>
        </w:pBdr>
        <w:shd w:fill="F3F4F6" w:color="auto" w:val="clear"/>
        <w:spacing w:after="40" w:line="264"/>
        <w:ind w:left="200" w:right="120"/>
      </w:pPr>
      <w:r>
        <w:rPr>
          <w:sz w:val="20"/>
          <w:szCs w:val="20"/>
        </w:rPr>
        <w:t xml:space="preserve">Strengthen the validation of the AI competency mapping. You currently use an LLM-generated confidence score, with C ≥ 0.75 being automatically accepted and lower scores sent for faculty review. My concern is that an LLM's stated confidence score should not automatically be treated as a calibrated measure of correctness.</w:t>
      </w:r>
    </w:p>
    <w:p>
      <w:pPr>
        <w:pBdr>
          <w:left w:val="single" w:color="9CA3AF" w:sz="18" w:space="8"/>
        </w:pBdr>
        <w:shd w:fill="F3F4F6" w:color="auto" w:val="clear"/>
        <w:spacing w:after="40" w:line="264"/>
        <w:ind w:left="200" w:right="120"/>
      </w:pPr>
      <w:r>
        <w:rPr>
          <w:sz w:val="20"/>
          <w:szCs w:val="20"/>
        </w:rPr>
        <w:t xml:space="preserve">Please create a faculty-validated ground-truth dataset of assessment-item-to-competency mappings. Then compare the AI's mapping against the faculty's mapping. Your reported "≥85% mapping accuracy" should come from this validation dataset, not simply from the AI confidence score.</w:t>
      </w:r>
    </w:p>
    <w:p>
      <w:pPr>
        <w:pBdr>
          <w:left w:val="single" w:color="9CA3AF" w:sz="18" w:space="8"/>
        </w:pBdr>
        <w:shd w:fill="F3F4F6" w:color="auto" w:val="clear"/>
        <w:spacing w:after="160" w:line="264"/>
        <w:ind w:left="200" w:right="120"/>
      </w:pPr>
      <w:r>
        <w:rPr>
          <w:sz w:val="20"/>
          <w:szCs w:val="20"/>
        </w:rPr>
        <w:t xml:space="preserve">Clearly indicate: number of assessment items to be validated; number of faculty experts/validators; how the correct competency will be established; how mapping accuracy will be computed; and what happens when faculty validators disagree.</w:t>
      </w:r>
    </w:p>
    <w:p>
      <w:pPr>
        <w:spacing w:before="160" w:after="60"/>
      </w:pPr>
      <w:r>
        <w:rPr>
          <w:b/>
          <w:bCs/>
          <w:color w:val="DC2626"/>
          <w:sz w:val="17"/>
          <w:szCs w:val="17"/>
        </w:rPr>
        <w:t xml:space="preserve">CURRENT MANUSCRIPT TEXT</w:t>
      </w:r>
    </w:p>
    <w:p>
      <w:pPr>
        <w:pBdr>
          <w:left w:val="single" w:color="DC2626" w:sz="18" w:space="8"/>
        </w:pBdr>
        <w:shd w:fill="FEF2F2" w:color="auto" w:val="clear"/>
        <w:spacing w:after="40" w:line="264"/>
        <w:ind w:left="200" w:right="120"/>
      </w:pPr>
      <w:r>
        <w:rPr>
          <w:sz w:val="20"/>
          <w:szCs w:val="20"/>
        </w:rPr>
        <w:t xml:space="preserve">§3.6.1 Step 6: "If C ≥ 0.75, the mapping is automatically approved and stored. If C &lt; 0.75, the system sets requires_review = TRUE and routes the item to the Faculty Review Interface."</w:t>
      </w:r>
    </w:p>
    <w:p>
      <w:pPr>
        <w:pBdr>
          <w:left w:val="single" w:color="DC2626" w:sz="18" w:space="8"/>
        </w:pBdr>
        <w:shd w:fill="FEF2F2" w:color="auto" w:val="clear"/>
        <w:spacing w:after="40" w:line="264"/>
        <w:ind w:left="200" w:right="120"/>
      </w:pPr>
      <w:r>
        <w:rPr>
          <w:sz w:val="20"/>
          <w:szCs w:val="20"/>
        </w:rPr>
        <w:t xml:space="preserve">§3.6.2: "Automated Thresholding: Mappings with C ≥ 0.75 are provisionally accepted… Mapping Accuracy Auditing: The system maintains an automated audit report comparing initial AI mappings against final faculty overrides, aiming for ≥ 85%."</w:t>
      </w:r>
    </w:p>
    <w:p>
      <w:pPr>
        <w:pBdr>
          <w:left w:val="single" w:color="DC2626" w:sz="18" w:space="8"/>
        </w:pBdr>
        <w:shd w:fill="FEF2F2" w:color="auto" w:val="clear"/>
        <w:spacing w:after="160" w:line="264"/>
        <w:ind w:left="200" w:right="120"/>
      </w:pPr>
      <w:r>
        <w:rPr>
          <w:sz w:val="20"/>
          <w:szCs w:val="20"/>
        </w:rPr>
        <w:t xml:space="preserve">Objective-to-Method Matrix, Obj 2: "Mapping accuracy 85% verified by faculty; auto-accept confidence C ≥ 0.75."</w:t>
      </w:r>
    </w:p>
    <w:p>
      <w:pPr>
        <w:spacing w:before="160" w:after="60"/>
      </w:pPr>
      <w:r>
        <w:rPr>
          <w:b/>
          <w:bCs/>
          <w:color w:val="4338CA"/>
          <w:sz w:val="17"/>
          <w:szCs w:val="17"/>
        </w:rPr>
        <w:t xml:space="preserve">WHAT THE SYSTEM DOES NOW</w:t>
      </w:r>
    </w:p>
    <w:p>
      <w:pPr>
        <w:spacing w:after="120" w:line="276"/>
      </w:pPr>
      <w:r>
        <w:t xml:space="preserve">The system auto-accepts mappings with C ≥ 0.75. Its accuracy card compares the AI's first answer with the faculty's final answer, but only for items a faculty member actually reviewed, so confidently auto-accepted items are never checked. The system revision plan adds a blind validation module and turns auto-accept off for the pilot.</w:t>
      </w:r>
    </w:p>
    <w:p>
      <w:pPr>
        <w:spacing w:before="160" w:after="60"/>
      </w:pPr>
      <w:r>
        <w:rPr>
          <w:b/>
          <w:bCs/>
          <w:color w:val="059669"/>
          <w:sz w:val="17"/>
          <w:szCs w:val="17"/>
        </w:rPr>
        <w:t xml:space="preserve">REVISED TEXT</w:t>
      </w:r>
    </w:p>
    <w:p>
      <w:pPr>
        <w:spacing w:after="120" w:line="276"/>
      </w:pPr>
      <w:r>
        <w:rPr>
          <w:b/>
          <w:bCs/>
        </w:rPr>
        <w:t xml:space="preserve">Add a new section after §3.6.2:</w:t>
      </w:r>
    </w:p>
    <w:p>
      <w:pPr>
        <w:pBdr>
          <w:left w:val="single" w:color="059669" w:sz="18" w:space="8"/>
        </w:pBdr>
        <w:shd w:fill="ECFDF5" w:color="auto" w:val="clear"/>
        <w:spacing w:after="40" w:line="264"/>
        <w:ind w:left="200" w:right="120"/>
      </w:pPr>
      <w:r>
        <w:rPr>
          <w:b/>
          <w:bCs/>
          <w:sz w:val="20"/>
          <w:szCs w:val="20"/>
        </w:rPr>
        <w:t xml:space="preserve">3.6.3 Mapping Validation Protocol</w:t>
      </w:r>
    </w:p>
    <w:p>
      <w:pPr>
        <w:pBdr>
          <w:left w:val="single" w:color="059669" w:sz="18" w:space="8"/>
        </w:pBdr>
        <w:shd w:fill="ECFDF5" w:color="auto" w:val="clear"/>
        <w:spacing w:after="40" w:line="264"/>
        <w:ind w:left="200" w:right="120"/>
      </w:pPr>
      <w:r>
        <w:rPr>
          <w:sz w:val="20"/>
          <w:szCs w:val="20"/>
        </w:rPr>
        <w:t xml:space="preserve">The confidence score C returned by the LLM is a self-reported, uncalibrated value. It is used only to prioritize items for faculty review and is not treated as a measure of correctness. Mapping accuracy is established against a faculty-validated ground-truth dataset as follows.</w:t>
      </w:r>
    </w:p>
    <w:p>
      <w:pPr>
        <w:pBdr>
          <w:left w:val="single" w:color="059669" w:sz="18" w:space="8"/>
        </w:pBdr>
        <w:shd w:fill="ECFDF5" w:color="auto" w:val="clear"/>
        <w:spacing w:after="40" w:line="264"/>
        <w:ind w:left="200" w:right="120"/>
      </w:pPr>
      <w:r>
        <w:rPr>
          <w:b/>
          <w:bCs/>
          <w:sz w:val="20"/>
          <w:szCs w:val="20"/>
        </w:rPr>
        <w:t xml:space="preserve">Validation dataset.</w:t>
      </w:r>
      <w:r>
        <w:rPr>
          <w:sz w:val="20"/>
          <w:szCs w:val="20"/>
        </w:rPr>
        <w:t xml:space="preserve"> A stratified sample of approximately 306 assessment items is drawn from all pilot courses (about 30 to 40 items per course). This sample size estimates an expected accuracy of 85% within a ±4% margin of error at a 95% confidence level: n = z²p(1 − p) / e² = 1.96² × 0.85 × 0.15 / 0.04² ≈ 306.</w:t>
      </w:r>
    </w:p>
    <w:p>
      <w:pPr>
        <w:pBdr>
          <w:left w:val="single" w:color="059669" w:sz="18" w:space="8"/>
        </w:pBdr>
        <w:shd w:fill="ECFDF5" w:color="auto" w:val="clear"/>
        <w:spacing w:after="40" w:line="264"/>
        <w:ind w:left="200" w:right="120"/>
      </w:pPr>
      <w:r>
        <w:rPr>
          <w:b/>
          <w:bCs/>
          <w:sz w:val="20"/>
          <w:szCs w:val="20"/>
        </w:rPr>
        <w:t xml:space="preserve">Validators.</w:t>
      </w:r>
      <w:r>
        <w:rPr>
          <w:sz w:val="20"/>
          <w:szCs w:val="20"/>
        </w:rPr>
        <w:t xml:space="preserve"> The items of each course are validated by two faculty subject-matter experts: the course instructor and one faculty member from the same program. The Program Director serves as adjudicator. [Confirm names/number of validators with BTECH.]</w:t>
      </w:r>
    </w:p>
    <w:p>
      <w:pPr>
        <w:pBdr>
          <w:left w:val="single" w:color="059669" w:sz="18" w:space="8"/>
        </w:pBdr>
        <w:shd w:fill="ECFDF5" w:color="auto" w:val="clear"/>
        <w:spacing w:after="40" w:line="264"/>
        <w:ind w:left="200" w:right="120"/>
      </w:pPr>
      <w:r>
        <w:rPr>
          <w:b/>
          <w:bCs/>
          <w:sz w:val="20"/>
          <w:szCs w:val="20"/>
        </w:rPr>
        <w:t xml:space="preserve">Establishing the correct competency.</w:t>
      </w:r>
      <w:r>
        <w:rPr>
          <w:sz w:val="20"/>
          <w:szCs w:val="20"/>
        </w:rPr>
        <w:t xml:space="preserve"> Each validator independently assigns every item to exactly one competency from the endorsed syllabus, or marks it as having no matching competency. Validators do not see the AI's suggested competency or its confidence score (blind labeling).</w:t>
      </w:r>
    </w:p>
    <w:p>
      <w:pPr>
        <w:pBdr>
          <w:left w:val="single" w:color="059669" w:sz="18" w:space="8"/>
        </w:pBdr>
        <w:shd w:fill="ECFDF5" w:color="auto" w:val="clear"/>
        <w:spacing w:after="40" w:line="264"/>
        <w:ind w:left="200" w:right="120"/>
      </w:pPr>
      <w:r>
        <w:rPr>
          <w:b/>
          <w:bCs/>
          <w:sz w:val="20"/>
          <w:szCs w:val="20"/>
        </w:rPr>
        <w:t xml:space="preserve">Resolving disagreements.</w:t>
      </w:r>
      <w:r>
        <w:rPr>
          <w:sz w:val="20"/>
          <w:szCs w:val="20"/>
        </w:rPr>
        <w:t xml:space="preserve"> Items on which both validators agree are accepted as ground truth. Disagreements are resolved by the Program Director, whose decision is final. Agreement between the two validators before adjudication is reported using Cohen's kappa (κ); a κ of at least 0.61, "substantial agreement" (Landis &amp; Koch, 1977), is the target.</w:t>
      </w:r>
    </w:p>
    <w:p>
      <w:pPr>
        <w:pBdr>
          <w:left w:val="single" w:color="059669" w:sz="18" w:space="8"/>
        </w:pBdr>
        <w:shd w:fill="ECFDF5" w:color="auto" w:val="clear"/>
        <w:spacing w:after="40" w:line="264"/>
        <w:ind w:left="200" w:right="120"/>
      </w:pPr>
      <w:r>
        <w:rPr>
          <w:b/>
          <w:bCs/>
          <w:sz w:val="20"/>
          <w:szCs w:val="20"/>
        </w:rPr>
        <w:t xml:space="preserve">Computing accuracy.</w:t>
      </w:r>
      <w:r>
        <w:rPr>
          <w:sz w:val="20"/>
          <w:szCs w:val="20"/>
        </w:rPr>
        <w:t xml:space="preserve"> Mapping Accuracy = (number of items whose AI-assigned competency matches the ground-truth competency ÷ total number of validated items) × 100. It is reported with its 95% confidence interval, per competency, and separately for items with C ≥ 0.75 and C &lt; 0.75, which shows whether the confidence score actually separates correct from incorrect mappings. The ≥ 85% target is evaluated on this dataset only.</w:t>
      </w:r>
    </w:p>
    <w:p>
      <w:pPr>
        <w:pBdr>
          <w:left w:val="single" w:color="059669" w:sz="18" w:space="8"/>
        </w:pBdr>
        <w:shd w:fill="ECFDF5" w:color="auto" w:val="clear"/>
        <w:spacing w:after="160" w:line="264"/>
        <w:ind w:left="200" w:right="120"/>
      </w:pPr>
      <w:r>
        <w:rPr>
          <w:b/>
          <w:bCs/>
          <w:sz w:val="20"/>
          <w:szCs w:val="20"/>
        </w:rPr>
        <w:t xml:space="preserve">Use of the confidence threshold.</w:t>
      </w:r>
      <w:r>
        <w:rPr>
          <w:sz w:val="20"/>
          <w:szCs w:val="20"/>
        </w:rPr>
        <w:t xml:space="preserve"> During the pilot, every AI mapping requires faculty confirmation, and items with C &lt; 0.75 are flagged for priority review. Automatic acceptance of high-confidence mappings is enabled only if the validation shows that mappings in that confidence band meet the accuracy target.</w:t>
      </w:r>
    </w:p>
    <w:p>
      <w:pPr>
        <w:spacing w:after="120" w:line="276"/>
      </w:pPr>
      <w:r>
        <w:rPr>
          <w:b/>
          <w:bCs/>
        </w:rPr>
        <w:t xml:space="preserve">Replace §3.6.1 Step 6 with:</w:t>
      </w:r>
    </w:p>
    <w:p>
      <w:pPr>
        <w:pBdr>
          <w:left w:val="single" w:color="059669" w:sz="18" w:space="8"/>
        </w:pBdr>
        <w:shd w:fill="ECFDF5" w:color="auto" w:val="clear"/>
        <w:spacing w:after="160" w:line="264"/>
        <w:ind w:left="200" w:right="120"/>
      </w:pPr>
      <w:r>
        <w:rPr>
          <w:sz w:val="20"/>
          <w:szCs w:val="20"/>
        </w:rPr>
        <w:t xml:space="preserve">Step 6: Confidence-Based Review Routing: Every AI mapping is shown to the faculty for confirmation. Items with C &lt; 0.75 are flagged (requires_review = TRUE) and listed first in the Faculty Review Interface. The confidence score is used to prioritize review, not to decide correctness (see §3.6.3).</w:t>
      </w:r>
    </w:p>
    <w:p>
      <w:pPr>
        <w:spacing w:after="120" w:line="276"/>
      </w:pPr>
      <w:r>
        <w:rPr>
          <w:b/>
          <w:bCs/>
        </w:rPr>
        <w:t xml:space="preserve">In §3.6.2, replace the "Automated Thresholding" and "Mapping Accuracy Auditing" bullets with:</w:t>
      </w:r>
    </w:p>
    <w:p>
      <w:pPr>
        <w:pBdr>
          <w:left w:val="single" w:color="059669" w:sz="18" w:space="8"/>
        </w:pBdr>
        <w:shd w:fill="ECFDF5" w:color="auto" w:val="clear"/>
        <w:spacing w:after="40" w:line="264"/>
        <w:ind w:left="200" w:right="120"/>
      </w:pPr>
      <w:r>
        <w:rPr>
          <w:sz w:val="20"/>
          <w:szCs w:val="20"/>
        </w:rPr>
        <w:t xml:space="preserve">Review Prioritization: Mappings with C &lt; 0.75 are flagged for priority faculty review; all mappings require faculty confirmation during the pilot.</w:t>
      </w:r>
    </w:p>
    <w:p>
      <w:pPr>
        <w:pBdr>
          <w:left w:val="single" w:color="059669" w:sz="18" w:space="8"/>
        </w:pBdr>
        <w:shd w:fill="ECFDF5" w:color="auto" w:val="clear"/>
        <w:spacing w:after="160" w:line="264"/>
        <w:ind w:left="200" w:right="120"/>
      </w:pPr>
      <w:r>
        <w:rPr>
          <w:sz w:val="20"/>
          <w:szCs w:val="20"/>
        </w:rPr>
        <w:t xml:space="preserve">Mapping Accuracy Validation: Accuracy is measured against the faculty-validated ground-truth dataset described in §3.6.3 (target ≥ 85%). The system also logs every faculty confirmation and override, which is reported as a review-agreement rate for monitoring, separate from the validated accuracy.</w:t>
      </w:r>
    </w:p>
    <w:p>
      <w:pPr>
        <w:spacing w:after="120" w:line="276"/>
      </w:pPr>
      <w:r>
        <w:rPr>
          <w:b/>
          <w:bCs/>
        </w:rPr>
        <w:t xml:space="preserve">Objective-to-Method Matrix, Objective 2 — Success Criteria column:</w:t>
      </w:r>
    </w:p>
    <w:p>
      <w:pPr>
        <w:pBdr>
          <w:left w:val="single" w:color="059669" w:sz="18" w:space="8"/>
        </w:pBdr>
        <w:shd w:fill="ECFDF5" w:color="auto" w:val="clear"/>
        <w:spacing w:after="160" w:line="264"/>
        <w:ind w:left="200" w:right="120"/>
      </w:pPr>
      <w:r>
        <w:rPr>
          <w:sz w:val="20"/>
          <w:szCs w:val="20"/>
        </w:rPr>
        <w:t xml:space="preserve">Mapping accuracy ≥ 85% against a faculty-validated ground-truth dataset (≈306 items, two blind validators per course, Program Director adjudication, κ ≥ 0.61); confidence score used only to prioritize review.</w:t>
      </w:r>
    </w:p>
    <w:p>
      <w:pPr>
        <w:spacing w:after="120" w:line="276"/>
      </w:pPr>
      <w:r>
        <w:rPr>
          <w:b/>
          <w:bCs/>
        </w:rPr>
        <w:t xml:space="preserve">Add to References:</w:t>
      </w:r>
      <w:r>
        <w:t xml:space="preserve"> Landis, J. R., &amp; Koch, G. G. (1977). The measurement of observer agreement for categorical data. Biometrics, 33(1), 159–174.</w:t>
      </w:r>
    </w:p>
    <w:p>
      <w:r>
        <w:br w:type="page"/>
      </w:r>
    </w:p>
    <w:p>
      <w:pPr>
        <w:pStyle w:val="Heading1"/>
      </w:pPr>
      <w:r>
        <w:t xml:space="preserve">2. At-risk thresholds</w:t>
      </w:r>
    </w:p>
    <w:p>
      <w:pPr>
        <w:spacing w:before="160" w:after="60"/>
      </w:pPr>
      <w:r>
        <w:rPr>
          <w:b/>
          <w:bCs/>
          <w:color w:val="6B7280"/>
          <w:sz w:val="17"/>
          <w:szCs w:val="17"/>
        </w:rPr>
        <w:t xml:space="preserve">PANELIST'S COMMENT</w:t>
      </w:r>
    </w:p>
    <w:p>
      <w:pPr>
        <w:pBdr>
          <w:left w:val="single" w:color="9CA3AF" w:sz="18" w:space="8"/>
        </w:pBdr>
        <w:shd w:fill="F3F4F6" w:color="auto" w:val="clear"/>
        <w:spacing w:after="40" w:line="264"/>
        <w:ind w:left="200" w:right="120"/>
      </w:pPr>
      <w:r>
        <w:rPr>
          <w:sz w:val="20"/>
          <w:szCs w:val="20"/>
        </w:rPr>
        <w:t xml:space="preserve">You now define learning gaps as mastery below 75%, and a student becomes at-risk when there are at least three learning gaps or a grade decline exceeding 15%. This is much clearer than before, but please make sure your references actually support the specific numerical thresholds you selected.</w:t>
      </w:r>
    </w:p>
    <w:p>
      <w:pPr>
        <w:pBdr>
          <w:left w:val="single" w:color="9CA3AF" w:sz="18" w:space="8"/>
        </w:pBdr>
        <w:shd w:fill="F3F4F6" w:color="auto" w:val="clear"/>
        <w:spacing w:after="160" w:line="264"/>
        <w:ind w:left="200" w:right="120"/>
      </w:pPr>
      <w:r>
        <w:rPr>
          <w:sz w:val="20"/>
          <w:szCs w:val="20"/>
        </w:rPr>
        <w:t xml:space="preserve">Do not cite Bloom or Guskey as justification for 75%, three learning gaps, and 15% decline unless those sources really establish those particular values. Otherwise, explain that these are institutionally defined operational thresholds and validate them with BTECH faculty/academic administrators.</w:t>
      </w:r>
    </w:p>
    <w:p>
      <w:pPr>
        <w:spacing w:before="160" w:after="60"/>
      </w:pPr>
      <w:r>
        <w:rPr>
          <w:b/>
          <w:bCs/>
          <w:color w:val="DC2626"/>
          <w:sz w:val="17"/>
          <w:szCs w:val="17"/>
        </w:rPr>
        <w:t xml:space="preserve">CURRENT MANUSCRIPT TEXT</w:t>
      </w:r>
    </w:p>
    <w:p>
      <w:pPr>
        <w:pBdr>
          <w:left w:val="single" w:color="DC2626" w:sz="18" w:space="8"/>
        </w:pBdr>
        <w:shd w:fill="FEF2F2" w:color="auto" w:val="clear"/>
        <w:spacing w:after="40" w:line="264"/>
        <w:ind w:left="200" w:right="120"/>
      </w:pPr>
      <w:r>
        <w:rPr>
          <w:sz w:val="20"/>
          <w:szCs w:val="20"/>
        </w:rPr>
        <w:t xml:space="preserve">§3.8.2: "At-Riski = (Count(CMSi,c &lt; 75.0%) ≥ 3) | (GDIi &lt; -15.0%)"</w:t>
      </w:r>
    </w:p>
    <w:p>
      <w:pPr>
        <w:pBdr>
          <w:left w:val="single" w:color="DC2626" w:sz="18" w:space="8"/>
        </w:pBdr>
        <w:shd w:fill="FEF2F2" w:color="auto" w:val="clear"/>
        <w:spacing w:after="160" w:line="264"/>
        <w:ind w:left="200" w:right="120"/>
      </w:pPr>
      <w:r>
        <w:rPr>
          <w:sz w:val="20"/>
          <w:szCs w:val="20"/>
        </w:rPr>
        <w:t xml:space="preserve">§3.8.2: "Theoretical Foundation: This threshold model is supported by Benjamin Bloom's (1968) Mastery Learning framework and Thomas Guskey's (2010) criterion-referenced evaluation principles, which establish 75% as the minimum threshold for cognitive prerequisite mastery in progressive curricula."</w:t>
      </w:r>
    </w:p>
    <w:p>
      <w:pPr>
        <w:spacing w:before="160" w:after="60"/>
      </w:pPr>
      <w:r>
        <w:rPr>
          <w:b/>
          <w:bCs/>
          <w:color w:val="4338CA"/>
          <w:sz w:val="17"/>
          <w:szCs w:val="17"/>
        </w:rPr>
        <w:t xml:space="preserve">WHAT THE SYSTEM DOES NOW</w:t>
      </w:r>
    </w:p>
    <w:p>
      <w:pPr>
        <w:spacing w:after="120" w:line="276"/>
      </w:pPr>
      <w:r>
        <w:t xml:space="preserve">The system applies 75% mastery, three or more gaps, a decline greater than 15%, and 85% for Excelling. These values are currently fixed in the code; the system revision plan makes them institution-configurable so the values BTECH validates can be applied and shown in every report.</w:t>
      </w:r>
    </w:p>
    <w:p>
      <w:pPr>
        <w:spacing w:before="160" w:after="60"/>
      </w:pPr>
      <w:r>
        <w:rPr>
          <w:b/>
          <w:bCs/>
          <w:color w:val="059669"/>
          <w:sz w:val="17"/>
          <w:szCs w:val="17"/>
        </w:rPr>
        <w:t xml:space="preserve">REVISED TEXT</w:t>
      </w:r>
    </w:p>
    <w:p>
      <w:pPr>
        <w:spacing w:after="120" w:line="276"/>
      </w:pPr>
      <w:r>
        <w:rPr>
          <w:b/>
          <w:bCs/>
        </w:rPr>
        <w:t xml:space="preserve">Replace the At-Risk logic line and add the formula definition:</w:t>
      </w:r>
    </w:p>
    <w:p>
      <w:pPr>
        <w:pBdr>
          <w:left w:val="single" w:color="059669" w:sz="18" w:space="8"/>
        </w:pBdr>
        <w:shd w:fill="ECFDF5" w:color="auto" w:val="clear"/>
        <w:spacing w:after="160" w:line="264"/>
        <w:ind w:left="200" w:right="120"/>
      </w:pPr>
      <w:r>
        <w:rPr>
          <w:sz w:val="20"/>
          <w:szCs w:val="20"/>
        </w:rPr>
        <w:t xml:space="preserve">At-Risk_i = (Count(CMS_i,c &lt; 75.0%) ≥ 3) ∨ (GDI_i &gt; 15.0%), where GDI_i = (previous period average − current period average) ÷ previous period average × 100. A positive GDI means the average dropped.</w:t>
      </w:r>
    </w:p>
    <w:p>
      <w:pPr>
        <w:spacing w:after="120" w:line="276"/>
      </w:pPr>
      <w:r>
        <w:rPr>
          <w:b/>
          <w:bCs/>
        </w:rPr>
        <w:t xml:space="preserve">Replace the "Theoretical Foundation" paragraph with:</w:t>
      </w:r>
    </w:p>
    <w:p>
      <w:pPr>
        <w:pBdr>
          <w:left w:val="single" w:color="059669" w:sz="18" w:space="8"/>
        </w:pBdr>
        <w:shd w:fill="ECFDF5" w:color="auto" w:val="clear"/>
        <w:spacing w:after="40" w:line="264"/>
        <w:ind w:left="200" w:right="120"/>
      </w:pPr>
      <w:r>
        <w:rPr>
          <w:b/>
          <w:bCs/>
          <w:sz w:val="20"/>
          <w:szCs w:val="20"/>
        </w:rPr>
        <w:t xml:space="preserve">Basis of the thresholds.</w:t>
      </w:r>
      <w:r>
        <w:rPr>
          <w:sz w:val="20"/>
          <w:szCs w:val="20"/>
        </w:rPr>
        <w:t xml:space="preserve"> The thresholds are institutionally defined operational values, not values established by the literature. The 75% mastery threshold corresponds to the minimum passing mark in BTECH's grading system [cite the BTECH grading policy or Student Handbook, with section and year]. The criteria of three or more learning gaps and a grade decline greater than 15% are operational decision rules for identifying students who need faculty follow-up. All three values were reviewed and validated by BTECH faculty and academic administrators (Program Directors, Deans, and the VPAA) [date; signed validation memo in Appendix X].</w:t>
      </w:r>
    </w:p>
    <w:p>
      <w:pPr>
        <w:pBdr>
          <w:left w:val="single" w:color="059669" w:sz="18" w:space="8"/>
        </w:pBdr>
        <w:shd w:fill="ECFDF5" w:color="auto" w:val="clear"/>
        <w:spacing w:after="160" w:line="264"/>
        <w:ind w:left="200" w:right="120"/>
      </w:pPr>
      <w:r>
        <w:rPr>
          <w:sz w:val="20"/>
          <w:szCs w:val="20"/>
        </w:rPr>
        <w:t xml:space="preserve">The mastery-learning literature (Bloom, 1968; Guskey, 2010) is cited only for the general practice of judging learning against a fixed, criterion-referenced standard rather than against classmates; it does not prescribe these particular values. The thresholds are stored as configurable institutional settings and may be revised by BTECH after the pilot.</w:t>
      </w:r>
    </w:p>
    <w:p>
      <w:pPr>
        <w:spacing w:after="120" w:line="276"/>
      </w:pPr>
      <w:r>
        <w:rPr>
          <w:b/>
          <w:bCs/>
        </w:rPr>
        <w:t xml:space="preserve">Optional, if BTECH allows access to last semester's records:</w:t>
      </w:r>
    </w:p>
    <w:p>
      <w:pPr>
        <w:pBdr>
          <w:left w:val="single" w:color="059669" w:sz="18" w:space="8"/>
        </w:pBdr>
        <w:shd w:fill="ECFDF5" w:color="auto" w:val="clear"/>
        <w:spacing w:after="160" w:line="264"/>
        <w:ind w:left="200" w:right="120"/>
      </w:pPr>
      <w:r>
        <w:rPr>
          <w:sz w:val="20"/>
          <w:szCs w:val="20"/>
        </w:rPr>
        <w:t xml:space="preserve">As supporting evidence, the rules were applied retrospectively to [AY/semester] assessment records of [n] students; [x]% of the students who eventually failed or received an incomplete grade would have been flagged before the Midterm examination. This check informs the thresholds but is not used as an accuracy claim.</w:t>
      </w:r>
    </w:p>
    <w:p>
      <w:r>
        <w:br w:type="page"/>
      </w:r>
    </w:p>
    <w:p>
      <w:pPr>
        <w:pStyle w:val="Heading1"/>
      </w:pPr>
      <w:r>
        <w:t xml:space="preserve">3. Defining "early" intervention</w:t>
      </w:r>
    </w:p>
    <w:p>
      <w:pPr>
        <w:spacing w:before="160" w:after="60"/>
      </w:pPr>
      <w:r>
        <w:rPr>
          <w:b/>
          <w:bCs/>
          <w:color w:val="6B7280"/>
          <w:sz w:val="17"/>
          <w:szCs w:val="17"/>
        </w:rPr>
        <w:t xml:space="preserve">PANELIST'S COMMENT</w:t>
      </w:r>
    </w:p>
    <w:p>
      <w:pPr>
        <w:pBdr>
          <w:left w:val="single" w:color="9CA3AF" w:sz="18" w:space="8"/>
        </w:pBdr>
        <w:shd w:fill="F3F4F6" w:color="auto" w:val="clear"/>
        <w:spacing w:after="40" w:line="264"/>
        <w:ind w:left="200" w:right="120"/>
      </w:pPr>
      <w:r>
        <w:rPr>
          <w:sz w:val="20"/>
          <w:szCs w:val="20"/>
        </w:rPr>
        <w:t xml:space="preserve">Do not rely too much on "early intervention" unless you demonstrate that it is actually early. Your system only analyzes formal assessment records uploaded through CSV, and your delimitation states that you do not collect real-time LMS behavior or clickstream data.</w:t>
      </w:r>
    </w:p>
    <w:p>
      <w:pPr>
        <w:pBdr>
          <w:left w:val="single" w:color="9CA3AF" w:sz="18" w:space="8"/>
        </w:pBdr>
        <w:shd w:fill="F3F4F6" w:color="auto" w:val="clear"/>
        <w:spacing w:after="160" w:line="264"/>
        <w:ind w:left="200" w:right="120"/>
      </w:pPr>
      <w:r>
        <w:rPr>
          <w:sz w:val="20"/>
          <w:szCs w:val="20"/>
        </w:rPr>
        <w:t xml:space="preserve">Therefore, define exactly when an intervention becomes "early." For example: after the first two quizzes, before the midterm examination, or immediately after a competency threshold is breached. Otherwise, the term early academic intervention may be too broad.</w:t>
      </w:r>
    </w:p>
    <w:p>
      <w:pPr>
        <w:spacing w:before="160" w:after="60"/>
      </w:pPr>
      <w:r>
        <w:rPr>
          <w:b/>
          <w:bCs/>
          <w:color w:val="DC2626"/>
          <w:sz w:val="17"/>
          <w:szCs w:val="17"/>
        </w:rPr>
        <w:t xml:space="preserve">CURRENT MANUSCRIPT TEXT</w:t>
      </w:r>
    </w:p>
    <w:p>
      <w:pPr>
        <w:pBdr>
          <w:left w:val="single" w:color="DC2626" w:sz="18" w:space="8"/>
        </w:pBdr>
        <w:shd w:fill="FEF2F2" w:color="auto" w:val="clear"/>
        <w:spacing w:after="40" w:line="264"/>
        <w:ind w:left="200" w:right="120"/>
      </w:pPr>
      <w:r>
        <w:rPr>
          <w:sz w:val="20"/>
          <w:szCs w:val="20"/>
        </w:rPr>
        <w:t xml:space="preserve">Scope: "Visualizing class-wide competency mastery and automated early-warning alerts."</w:t>
      </w:r>
    </w:p>
    <w:p>
      <w:pPr>
        <w:pBdr>
          <w:left w:val="single" w:color="DC2626" w:sz="18" w:space="8"/>
        </w:pBdr>
        <w:shd w:fill="FEF2F2" w:color="auto" w:val="clear"/>
        <w:spacing w:after="40" w:line="264"/>
        <w:ind w:left="200" w:right="120"/>
      </w:pPr>
      <w:r>
        <w:rPr>
          <w:sz w:val="20"/>
          <w:szCs w:val="20"/>
        </w:rPr>
        <w:t xml:space="preserve">§3.11.2 Phase 3: "Rule-based engine flags gaps &lt;75% mastery 3–4 weeks before term end." (3–4 weeks before the end of term is not early.)</w:t>
      </w:r>
    </w:p>
    <w:p>
      <w:pPr>
        <w:pBdr>
          <w:left w:val="single" w:color="DC2626" w:sz="18" w:space="8"/>
        </w:pBdr>
        <w:shd w:fill="FEF2F2" w:color="auto" w:val="clear"/>
        <w:spacing w:after="160" w:line="264"/>
        <w:ind w:left="200" w:right="120"/>
      </w:pPr>
      <w:r>
        <w:rPr>
          <w:sz w:val="20"/>
          <w:szCs w:val="20"/>
        </w:rPr>
        <w:t xml:space="preserve">§1.5 defines Learning Analytics "for early intervention" but never defines "early".</w:t>
      </w:r>
    </w:p>
    <w:p>
      <w:pPr>
        <w:spacing w:before="160" w:after="60"/>
      </w:pPr>
      <w:r>
        <w:rPr>
          <w:b/>
          <w:bCs/>
          <w:color w:val="4338CA"/>
          <w:sz w:val="17"/>
          <w:szCs w:val="17"/>
        </w:rPr>
        <w:t xml:space="preserve">WHAT THE SYSTEM DOES NOW</w:t>
      </w:r>
    </w:p>
    <w:p>
      <w:pPr>
        <w:spacing w:after="120" w:line="276"/>
      </w:pPr>
      <w:r>
        <w:t xml:space="preserve">The risk rules run each time assessment results are uploaded, and an alert is sent once when a student first becomes At-Risk. The system revision plan adds timing measures: when each student was first flagged, the share flagged before the Midterm, and the time from alert to intervention.</w:t>
      </w:r>
    </w:p>
    <w:p>
      <w:pPr>
        <w:spacing w:before="160" w:after="60"/>
      </w:pPr>
      <w:r>
        <w:rPr>
          <w:b/>
          <w:bCs/>
          <w:color w:val="059669"/>
          <w:sz w:val="17"/>
          <w:szCs w:val="17"/>
        </w:rPr>
        <w:t xml:space="preserve">REVISED TEXT</w:t>
      </w:r>
    </w:p>
    <w:p>
      <w:pPr>
        <w:spacing w:after="120" w:line="276"/>
      </w:pPr>
      <w:r>
        <w:rPr>
          <w:b/>
          <w:bCs/>
        </w:rPr>
        <w:t xml:space="preserve">Add to §1.5 Definition of Terms:</w:t>
      </w:r>
    </w:p>
    <w:p>
      <w:pPr>
        <w:pBdr>
          <w:left w:val="single" w:color="059669" w:sz="18" w:space="8"/>
        </w:pBdr>
        <w:shd w:fill="ECFDF5" w:color="auto" w:val="clear"/>
        <w:spacing w:after="160" w:line="264"/>
        <w:ind w:left="200" w:right="120"/>
      </w:pPr>
      <w:r>
        <w:rPr>
          <w:b/>
          <w:bCs/>
          <w:sz w:val="20"/>
          <w:szCs w:val="20"/>
        </w:rPr>
        <w:t xml:space="preserve">Early Academic Intervention:</w:t>
      </w:r>
      <w:r>
        <w:rPr>
          <w:sz w:val="20"/>
          <w:szCs w:val="20"/>
        </w:rPr>
        <w:t xml:space="preserve"> In this study, an intervention is considered early when (a) the At-Risk alert is generated upon the upload of the assessment results that first breach a threshold, and (b) both the alert and the faculty member's logged intervention occur before the Midterm examination. Because the system analyzes only formal assessment records uploaded as CSV files, the earliest possible detection point is the first uploaded assessment that covers at least three competencies, typically the first quizzes of the Prelim period. The grade-decline criterion needs results from two grading periods and therefore applies from the Midterm period onward.</w:t>
      </w:r>
    </w:p>
    <w:p>
      <w:pPr>
        <w:spacing w:after="120" w:line="276"/>
      </w:pPr>
      <w:r>
        <w:rPr>
          <w:b/>
          <w:bCs/>
        </w:rPr>
        <w:t xml:space="preserve">Add to §3.8.1 (operating condition and measures):</w:t>
      </w:r>
    </w:p>
    <w:p>
      <w:pPr>
        <w:pBdr>
          <w:left w:val="single" w:color="059669" w:sz="18" w:space="8"/>
        </w:pBdr>
        <w:shd w:fill="ECFDF5" w:color="auto" w:val="clear"/>
        <w:spacing w:after="40" w:line="264"/>
        <w:ind w:left="200" w:right="120"/>
      </w:pPr>
      <w:r>
        <w:rPr>
          <w:sz w:val="20"/>
          <w:szCs w:val="20"/>
        </w:rPr>
        <w:t xml:space="preserve">Operating condition: Faculty upload the results of every quiz and examination within [3] school days of administering it, so that detection is not delayed until major examinations.</w:t>
      </w:r>
    </w:p>
    <w:p>
      <w:pPr>
        <w:pBdr>
          <w:left w:val="single" w:color="059669" w:sz="18" w:space="8"/>
        </w:pBdr>
        <w:shd w:fill="ECFDF5" w:color="auto" w:val="clear"/>
        <w:spacing w:after="160" w:line="264"/>
        <w:ind w:left="200" w:right="120"/>
      </w:pPr>
      <w:r>
        <w:rPr>
          <w:sz w:val="20"/>
          <w:szCs w:val="20"/>
        </w:rPr>
        <w:t xml:space="preserve">Timeliness measures: (1) the proportion of At-Risk students first flagged before the Midterm examination; (2) the median number of school days from the At-Risk alert to the logged intervention, with a target of [5] school days or fewer; (3) the median lead time between the first alert and the Final examination.</w:t>
      </w:r>
    </w:p>
    <w:p>
      <w:pPr>
        <w:spacing w:after="120" w:line="276"/>
      </w:pPr>
      <w:r>
        <w:rPr>
          <w:b/>
          <w:bCs/>
        </w:rPr>
        <w:t xml:space="preserve">§3.11.2 Phase 3 — replace "flags gaps &lt;75% mastery 3–4 weeks before term end" with:</w:t>
      </w:r>
    </w:p>
    <w:p>
      <w:pPr>
        <w:pBdr>
          <w:left w:val="single" w:color="059669" w:sz="18" w:space="8"/>
        </w:pBdr>
        <w:shd w:fill="ECFDF5" w:color="auto" w:val="clear"/>
        <w:spacing w:after="160" w:line="264"/>
        <w:ind w:left="200" w:right="120"/>
      </w:pPr>
      <w:r>
        <w:rPr>
          <w:sz w:val="20"/>
          <w:szCs w:val="20"/>
        </w:rPr>
        <w:t xml:space="preserve">flags competency gaps as soon as each assessment's results are uploaded, from the first Prelim quizzes onward</w:t>
      </w:r>
    </w:p>
    <w:p>
      <w:r>
        <w:br w:type="page"/>
      </w:r>
    </w:p>
    <w:p>
      <w:pPr>
        <w:pStyle w:val="Heading1"/>
      </w:pPr>
      <w:r>
        <w:t xml:space="preserve">4. The project's real contribution</w:t>
      </w:r>
    </w:p>
    <w:p>
      <w:pPr>
        <w:spacing w:before="160" w:after="60"/>
      </w:pPr>
      <w:r>
        <w:rPr>
          <w:b/>
          <w:bCs/>
          <w:color w:val="6B7280"/>
          <w:sz w:val="17"/>
          <w:szCs w:val="17"/>
        </w:rPr>
        <w:t xml:space="preserve">PANELIST'S COMMENT</w:t>
      </w:r>
    </w:p>
    <w:p>
      <w:pPr>
        <w:pBdr>
          <w:left w:val="single" w:color="9CA3AF" w:sz="18" w:space="8"/>
        </w:pBdr>
        <w:shd w:fill="F3F4F6" w:color="auto" w:val="clear"/>
        <w:spacing w:after="40" w:line="264"/>
        <w:ind w:left="200" w:right="120"/>
      </w:pPr>
      <w:r>
        <w:rPr>
          <w:sz w:val="20"/>
          <w:szCs w:val="20"/>
        </w:rPr>
        <w:t xml:space="preserve">Your strongest contribution is not prediction or development of a new AI model. It is the integration of LLM-assisted assessment-to-syllabus competency mapping, performance analysis, faculty validation, and targeted intervention into the institutional workflow.</w:t>
      </w:r>
    </w:p>
    <w:p>
      <w:pPr>
        <w:pBdr>
          <w:left w:val="single" w:color="9CA3AF" w:sz="18" w:space="8"/>
        </w:pBdr>
        <w:shd w:fill="F3F4F6" w:color="auto" w:val="clear"/>
        <w:spacing w:after="160" w:line="264"/>
        <w:ind w:left="200" w:right="120"/>
      </w:pPr>
      <w:r>
        <w:rPr>
          <w:sz w:val="20"/>
          <w:szCs w:val="20"/>
        </w:rPr>
        <w:t xml:space="preserve">The manuscript already acknowledges that no custom ML model will be trained and that recommendations are largely rule-based. Do not oversell the system as advanced predictive analytics. Present it clearly as an AI-assisted decision-support and learning analytics system.</w:t>
      </w:r>
    </w:p>
    <w:p>
      <w:pPr>
        <w:spacing w:before="160" w:after="60"/>
      </w:pPr>
      <w:r>
        <w:rPr>
          <w:b/>
          <w:bCs/>
          <w:color w:val="059669"/>
          <w:sz w:val="17"/>
          <w:szCs w:val="17"/>
        </w:rPr>
        <w:t xml:space="preserve">REVISED TEXT</w:t>
      </w:r>
    </w:p>
    <w:p>
      <w:pPr>
        <w:spacing w:after="120" w:line="276"/>
      </w:pPr>
      <w:r>
        <w:rPr>
          <w:b/>
          <w:bCs/>
        </w:rPr>
        <w:t xml:space="preserve">Add a contribution statement at the end of the Rationale (Chapter 1) and repeat it in Significance of the Study:</w:t>
      </w:r>
    </w:p>
    <w:p>
      <w:pPr>
        <w:pBdr>
          <w:left w:val="single" w:color="059669" w:sz="18" w:space="8"/>
        </w:pBdr>
        <w:shd w:fill="ECFDF5" w:color="auto" w:val="clear"/>
        <w:spacing w:after="160" w:line="264"/>
        <w:ind w:left="200" w:right="120"/>
      </w:pPr>
      <w:r>
        <w:rPr>
          <w:sz w:val="20"/>
          <w:szCs w:val="20"/>
        </w:rPr>
        <w:t xml:space="preserve">This study does not develop or train a new predictive model. Its contribution is the integration of LLM-assisted assessment-to-syllabus competency mapping, rule-based competency performance analysis, faculty validation, and targeted intervention into BTECH's existing academic workflow. AILAS is therefore positioned as an AI-assisted decision-support and learning analytics system in which faculty make the final decisions.</w:t>
      </w:r>
    </w:p>
    <w:p>
      <w:pPr>
        <w:spacing w:after="120" w:line="276"/>
      </w:pPr>
      <w:r>
        <w:rPr>
          <w:b/>
          <w:bCs/>
        </w:rPr>
        <w:t xml:space="preserve">Wording changes throughout the manuscript: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D1D5DB" w:sz="4"/>
              <w:left w:val="single" w:color="D1D5DB" w:sz="4"/>
              <w:bottom w:val="single" w:color="D1D5DB" w:sz="4"/>
              <w:right w:val="single" w:color="D1D5DB" w:sz="4"/>
            </w:tcBorders>
            <w:shd w:fill="1E1B4B" w:color="auto" w:val="clear"/>
            <w:tcMar>
              <w:top w:type="dxa" w:w="70"/>
              <w:left w:type="dxa" w:w="110"/>
              <w:bottom w:type="dxa" w:w="70"/>
              <w:right w:type="dxa" w:w="110"/>
            </w:tcMar>
          </w:tcPr>
          <w:p>
            <w:pPr>
              <w:spacing w:after="20"/>
            </w:pPr>
            <w:r>
              <w:rPr>
                <w:b/>
                <w:bCs/>
                <w:color w:val="FFFFFF"/>
                <w:sz w:val="18"/>
                <w:szCs w:val="18"/>
              </w:rPr>
              <w:t xml:space="preserve">Where</w:t>
            </w:r>
          </w:p>
        </w:tc>
        <w:tc>
          <w:tcPr>
            <w:tcW w:type="dxa" w:w="3530"/>
            <w:tcBorders>
              <w:top w:val="single" w:color="D1D5DB" w:sz="4"/>
              <w:left w:val="single" w:color="D1D5DB" w:sz="4"/>
              <w:bottom w:val="single" w:color="D1D5DB" w:sz="4"/>
              <w:right w:val="single" w:color="D1D5DB" w:sz="4"/>
            </w:tcBorders>
            <w:shd w:fill="1E1B4B" w:color="auto" w:val="clear"/>
            <w:tcMar>
              <w:top w:type="dxa" w:w="70"/>
              <w:left w:type="dxa" w:w="110"/>
              <w:bottom w:type="dxa" w:w="70"/>
              <w:right w:type="dxa" w:w="110"/>
            </w:tcMar>
          </w:tcPr>
          <w:p>
            <w:pPr>
              <w:spacing w:after="20"/>
            </w:pPr>
            <w:r>
              <w:rPr>
                <w:b/>
                <w:bCs/>
                <w:color w:val="FFFFFF"/>
                <w:sz w:val="18"/>
                <w:szCs w:val="18"/>
              </w:rPr>
              <w:t xml:space="preserve">Current wording</w:t>
            </w:r>
          </w:p>
        </w:tc>
        <w:tc>
          <w:tcPr>
            <w:tcW w:type="dxa" w:w="3530"/>
            <w:tcBorders>
              <w:top w:val="single" w:color="D1D5DB" w:sz="4"/>
              <w:left w:val="single" w:color="D1D5DB" w:sz="4"/>
              <w:bottom w:val="single" w:color="D1D5DB" w:sz="4"/>
              <w:right w:val="single" w:color="D1D5DB" w:sz="4"/>
            </w:tcBorders>
            <w:shd w:fill="1E1B4B" w:color="auto" w:val="clear"/>
            <w:tcMar>
              <w:top w:type="dxa" w:w="70"/>
              <w:left w:type="dxa" w:w="110"/>
              <w:bottom w:type="dxa" w:w="70"/>
              <w:right w:type="dxa" w:w="110"/>
            </w:tcMar>
          </w:tcPr>
          <w:p>
            <w:pPr>
              <w:spacing w:after="20"/>
            </w:pPr>
            <w:r>
              <w:rPr>
                <w:b/>
                <w:bCs/>
                <w:color w:val="FFFFFF"/>
                <w:sz w:val="18"/>
                <w:szCs w:val="18"/>
              </w:rPr>
              <w:t xml:space="preserve">Replace with</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§1.2 Objective 2</w:t>
            </w:r>
          </w:p>
        </w:tc>
        <w:tc>
          <w:tcPr>
            <w:tcW w:type="dxa" w:w="35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eliminating manual mapping efforts</w:t>
            </w:r>
          </w:p>
        </w:tc>
        <w:tc>
          <w:tcPr>
            <w:tcW w:type="dxa" w:w="35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reducing manual mapping effort, with faculty validation of every mapping</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§3.11.2 Phase 2</w:t>
            </w:r>
          </w:p>
        </w:tc>
        <w:tc>
          <w:tcPr>
            <w:tcW w:type="dxa" w:w="35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AI Assessment Difficulty Predictor (API)</w:t>
            </w:r>
          </w:p>
        </w:tc>
        <w:tc>
          <w:tcPr>
            <w:tcW w:type="dxa" w:w="35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AI-Assisted Assessment Alignment Check (advisory)</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§3.11.2 Phase 3</w:t>
            </w:r>
          </w:p>
        </w:tc>
        <w:tc>
          <w:tcPr>
            <w:tcW w:type="dxa" w:w="35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AI Recommendation personalized interventions</w:t>
            </w:r>
          </w:p>
        </w:tc>
        <w:tc>
          <w:tcPr>
            <w:tcW w:type="dxa" w:w="35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Competency-matched resource retrieval to support faculty interventions</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Ch. 2 synthesis (Gradescope/Turnitin paragraph)</w:t>
            </w:r>
          </w:p>
        </w:tc>
        <w:tc>
          <w:tcPr>
            <w:tcW w:type="dxa" w:w="35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They do not proactively predict academic risk during the learning process</w:t>
            </w:r>
          </w:p>
        </w:tc>
        <w:tc>
          <w:tcPr>
            <w:tcW w:type="dxa" w:w="35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They do not flag competency-level learning gaps during the term</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Anywhere describing AILAS</w:t>
            </w:r>
          </w:p>
        </w:tc>
        <w:tc>
          <w:tcPr>
            <w:tcW w:type="dxa" w:w="35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predict / predicts / predictive (risk)</w:t>
            </w:r>
          </w:p>
        </w:tc>
        <w:tc>
          <w:tcPr>
            <w:tcW w:type="dxa" w:w="35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flag / classify / identify (risk)</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Anywhere describing AILAS</w:t>
            </w:r>
          </w:p>
        </w:tc>
        <w:tc>
          <w:tcPr>
            <w:tcW w:type="dxa" w:w="35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AI-driven recommendations</w:t>
            </w:r>
          </w:p>
        </w:tc>
        <w:tc>
          <w:tcPr>
            <w:tcW w:type="dxa" w:w="35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competency-matched recommendations (see Objective 3)</w:t>
            </w:r>
          </w:p>
        </w:tc>
      </w:tr>
    </w:tbl>
    <w:p>
      <w:pPr>
        <w:spacing w:after="120"/>
      </w:pPr>
    </w:p>
    <w:p>
      <w:pPr>
        <w:spacing w:after="120" w:line="276"/>
      </w:pPr>
      <w:r>
        <w:t xml:space="preserve">Keep "predict/predictive" only when describing other systems in Chapter 2 (for example, Blackboard Predict).</w:t>
      </w:r>
    </w:p>
    <w:p>
      <w:pPr>
        <w:pStyle w:val="Heading1"/>
      </w:pPr>
      <w:r>
        <w:t xml:space="preserve">5. "Real-time" terminology</w:t>
      </w:r>
    </w:p>
    <w:p>
      <w:pPr>
        <w:spacing w:before="160" w:after="60"/>
      </w:pPr>
      <w:r>
        <w:rPr>
          <w:b/>
          <w:bCs/>
          <w:color w:val="6B7280"/>
          <w:sz w:val="17"/>
          <w:szCs w:val="17"/>
        </w:rPr>
        <w:t xml:space="preserve">PANELIST'S COMMENT</w:t>
      </w:r>
    </w:p>
    <w:p>
      <w:pPr>
        <w:pBdr>
          <w:left w:val="single" w:color="9CA3AF" w:sz="18" w:space="8"/>
        </w:pBdr>
        <w:shd w:fill="F3F4F6" w:color="auto" w:val="clear"/>
        <w:spacing w:after="160" w:line="264"/>
        <w:ind w:left="200" w:right="120"/>
      </w:pPr>
      <w:r>
        <w:rPr>
          <w:sz w:val="20"/>
          <w:szCs w:val="20"/>
        </w:rPr>
        <w:t xml:space="preserve">Since the system depends on uploaded syllabus documents and CSV assessment records, I suggest replacing statements such as "real-time risk alerts" with "automated," "on-demand," or "updated upon assessment-data upload," unless you truly have continuous real-time data processing.</w:t>
      </w:r>
    </w:p>
    <w:p>
      <w:pPr>
        <w:spacing w:before="160" w:after="60"/>
      </w:pPr>
      <w:r>
        <w:rPr>
          <w:b/>
          <w:bCs/>
          <w:color w:val="059669"/>
          <w:sz w:val="17"/>
          <w:szCs w:val="17"/>
        </w:rPr>
        <w:t xml:space="preserve">REVISED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1D5DB" w:sz="4"/>
              <w:left w:val="single" w:color="D1D5DB" w:sz="4"/>
              <w:bottom w:val="single" w:color="D1D5DB" w:sz="4"/>
              <w:right w:val="single" w:color="D1D5DB" w:sz="4"/>
            </w:tcBorders>
            <w:shd w:fill="1E1B4B" w:color="auto" w:val="clear"/>
            <w:tcMar>
              <w:top w:type="dxa" w:w="70"/>
              <w:left w:type="dxa" w:w="110"/>
              <w:bottom w:type="dxa" w:w="70"/>
              <w:right w:type="dxa" w:w="110"/>
            </w:tcMar>
          </w:tcPr>
          <w:p>
            <w:pPr>
              <w:spacing w:after="20"/>
            </w:pPr>
            <w:r>
              <w:rPr>
                <w:b/>
                <w:bCs/>
                <w:color w:val="FFFFFF"/>
                <w:sz w:val="18"/>
                <w:szCs w:val="18"/>
              </w:rPr>
              <w:t xml:space="preserve">Where</w:t>
            </w:r>
          </w:p>
        </w:tc>
        <w:tc>
          <w:tcPr>
            <w:tcW w:type="dxa" w:w="3680"/>
            <w:tcBorders>
              <w:top w:val="single" w:color="D1D5DB" w:sz="4"/>
              <w:left w:val="single" w:color="D1D5DB" w:sz="4"/>
              <w:bottom w:val="single" w:color="D1D5DB" w:sz="4"/>
              <w:right w:val="single" w:color="D1D5DB" w:sz="4"/>
            </w:tcBorders>
            <w:shd w:fill="1E1B4B" w:color="auto" w:val="clear"/>
            <w:tcMar>
              <w:top w:type="dxa" w:w="70"/>
              <w:left w:type="dxa" w:w="110"/>
              <w:bottom w:type="dxa" w:w="70"/>
              <w:right w:type="dxa" w:w="110"/>
            </w:tcMar>
          </w:tcPr>
          <w:p>
            <w:pPr>
              <w:spacing w:after="20"/>
            </w:pPr>
            <w:r>
              <w:rPr>
                <w:b/>
                <w:bCs/>
                <w:color w:val="FFFFFF"/>
                <w:sz w:val="18"/>
                <w:szCs w:val="18"/>
              </w:rPr>
              <w:t xml:space="preserve">Current wording</w:t>
            </w:r>
          </w:p>
        </w:tc>
        <w:tc>
          <w:tcPr>
            <w:tcW w:type="dxa" w:w="3680"/>
            <w:tcBorders>
              <w:top w:val="single" w:color="D1D5DB" w:sz="4"/>
              <w:left w:val="single" w:color="D1D5DB" w:sz="4"/>
              <w:bottom w:val="single" w:color="D1D5DB" w:sz="4"/>
              <w:right w:val="single" w:color="D1D5DB" w:sz="4"/>
            </w:tcBorders>
            <w:shd w:fill="1E1B4B" w:color="auto" w:val="clear"/>
            <w:tcMar>
              <w:top w:type="dxa" w:w="70"/>
              <w:left w:type="dxa" w:w="110"/>
              <w:bottom w:type="dxa" w:w="70"/>
              <w:right w:type="dxa" w:w="110"/>
            </w:tcMar>
          </w:tcPr>
          <w:p>
            <w:pPr>
              <w:spacing w:after="20"/>
            </w:pPr>
            <w:r>
              <w:rPr>
                <w:b/>
                <w:bCs/>
                <w:color w:val="FFFFFF"/>
                <w:sz w:val="18"/>
                <w:szCs w:val="18"/>
              </w:rPr>
              <w:t xml:space="preserve">Replace with</w:t>
            </w:r>
          </w:p>
        </w:tc>
      </w:tr>
      <w:t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§3.1 Output</w:t>
            </w:r>
          </w:p>
        </w:tc>
        <w:tc>
          <w:tcPr>
            <w:tcW w:type="dxa" w:w="36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real-time risk alerts</w:t>
            </w:r>
          </w:p>
        </w:tc>
        <w:tc>
          <w:tcPr>
            <w:tcW w:type="dxa" w:w="36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automated risk alerts, updated upon assessment-data upload</w:t>
            </w:r>
          </w:p>
        </w:tc>
      </w:tr>
      <w:t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§3.11.2 Phase 3</w:t>
            </w:r>
          </w:p>
        </w:tc>
        <w:tc>
          <w:tcPr>
            <w:tcW w:type="dxa" w:w="36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Real-Time Competency Monitoring &amp; Early Warning (API)</w:t>
            </w:r>
          </w:p>
        </w:tc>
        <w:tc>
          <w:tcPr>
            <w:tcW w:type="dxa" w:w="36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Upload-Triggered Competency Monitoring and Early Warning</w:t>
            </w:r>
          </w:p>
        </w:tc>
      </w:tr>
      <w:tr>
        <w:tc>
          <w:tcPr>
            <w:tcW w:type="dxa" w:w="2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§3.11.2 Phase 3</w:t>
            </w:r>
          </w:p>
        </w:tc>
        <w:tc>
          <w:tcPr>
            <w:tcW w:type="dxa" w:w="36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provides real-time trend analytics</w:t>
            </w:r>
          </w:p>
        </w:tc>
        <w:tc>
          <w:tcPr>
            <w:tcW w:type="dxa" w:w="36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provides trend analytics updated after each upload</w:t>
            </w:r>
          </w:p>
        </w:tc>
      </w:tr>
    </w:tbl>
    <w:p>
      <w:pPr>
        <w:spacing w:after="120"/>
      </w:pPr>
    </w:p>
    <w:p>
      <w:pPr>
        <w:spacing w:after="120" w:line="276"/>
      </w:pPr>
      <w:r>
        <w:t xml:space="preserve">Keep "real-time" only where Chapter 2 describes other products (DreamBox, Power BI, Apache Spark).</w:t>
      </w:r>
    </w:p>
    <w:p>
      <w:r>
        <w:br w:type="page"/>
      </w:r>
    </w:p>
    <w:p>
      <w:pPr>
        <w:pStyle w:val="Heading1"/>
      </w:pPr>
      <w:r>
        <w:t xml:space="preserve">6. Data privacy: what is sent to the AI provider</w:t>
      </w:r>
    </w:p>
    <w:p>
      <w:pPr>
        <w:spacing w:before="160" w:after="60"/>
      </w:pPr>
      <w:r>
        <w:rPr>
          <w:b/>
          <w:bCs/>
          <w:color w:val="6B7280"/>
          <w:sz w:val="17"/>
          <w:szCs w:val="17"/>
        </w:rPr>
        <w:t xml:space="preserve">PANELIST'S COMMENT</w:t>
      </w:r>
    </w:p>
    <w:p>
      <w:pPr>
        <w:pBdr>
          <w:left w:val="single" w:color="9CA3AF" w:sz="18" w:space="8"/>
        </w:pBdr>
        <w:shd w:fill="F3F4F6" w:color="auto" w:val="clear"/>
        <w:spacing w:after="40" w:line="264"/>
        <w:ind w:left="200" w:right="120"/>
      </w:pPr>
      <w:r>
        <w:rPr>
          <w:sz w:val="20"/>
          <w:szCs w:val="20"/>
        </w:rPr>
        <w:t xml:space="preserve">Hashing the student ID is good, but hashing alone does not automatically make student performance data anonymous. Your manuscript should clearly state what information is transmitted to the external AI provider and what remains locally stored.</w:t>
      </w:r>
    </w:p>
    <w:p>
      <w:pPr>
        <w:pBdr>
          <w:left w:val="single" w:color="9CA3AF" w:sz="18" w:space="8"/>
        </w:pBdr>
        <w:shd w:fill="F3F4F6" w:color="auto" w:val="clear"/>
        <w:spacing w:after="160" w:line="264"/>
        <w:ind w:left="200" w:right="120"/>
      </w:pPr>
      <w:r>
        <w:rPr>
          <w:sz w:val="20"/>
          <w:szCs w:val="20"/>
        </w:rPr>
        <w:t xml:space="preserve">If the LLM is only being used to map assessment questions to syllabus competencies, ask yourself whether student scores need to be transmitted to the LLM at all. If they are not necessary, do not send them. Keep student performance calculations locally.</w:t>
      </w:r>
    </w:p>
    <w:p>
      <w:pPr>
        <w:spacing w:before="160" w:after="60"/>
      </w:pPr>
      <w:r>
        <w:rPr>
          <w:b/>
          <w:bCs/>
          <w:color w:val="DC2626"/>
          <w:sz w:val="17"/>
          <w:szCs w:val="17"/>
        </w:rPr>
        <w:t xml:space="preserve">CURRENT MANUSCRIPT TEXT</w:t>
      </w:r>
    </w:p>
    <w:p>
      <w:pPr>
        <w:pBdr>
          <w:left w:val="single" w:color="DC2626" w:sz="18" w:space="8"/>
        </w:pBdr>
        <w:shd w:fill="FEF2F2" w:color="auto" w:val="clear"/>
        <w:spacing w:after="40" w:line="264"/>
        <w:ind w:left="200" w:right="120"/>
      </w:pPr>
      <w:r>
        <w:rPr>
          <w:sz w:val="20"/>
          <w:szCs w:val="20"/>
        </w:rPr>
        <w:t xml:space="preserve">§3.9.1: "Anonymized Payloads: External API requests contain only question item text and numerical score arrays."</w:t>
      </w:r>
    </w:p>
    <w:p>
      <w:pPr>
        <w:pBdr>
          <w:left w:val="single" w:color="DC2626" w:sz="18" w:space="8"/>
        </w:pBdr>
        <w:shd w:fill="FEF2F2" w:color="auto" w:val="clear"/>
        <w:spacing w:after="160" w:line="264"/>
        <w:ind w:left="200" w:right="120"/>
      </w:pPr>
      <w:r>
        <w:rPr>
          <w:sz w:val="20"/>
          <w:szCs w:val="20"/>
        </w:rPr>
        <w:t xml:space="preserve">§3.9.1 heading: "Client-Side Hashing &amp; PII Masking" — hashing actually happens on the server when the CSV is ingested.</w:t>
      </w:r>
    </w:p>
    <w:p>
      <w:pPr>
        <w:spacing w:before="160" w:after="60"/>
      </w:pPr>
      <w:r>
        <w:rPr>
          <w:b/>
          <w:bCs/>
          <w:color w:val="4338CA"/>
          <w:sz w:val="17"/>
          <w:szCs w:val="17"/>
        </w:rPr>
        <w:t xml:space="preserve">WHAT THE SYSTEM DOES NOW</w:t>
      </w:r>
    </w:p>
    <w:p>
      <w:pPr>
        <w:spacing w:after="120" w:line="276"/>
      </w:pPr>
      <w:r>
        <w:t xml:space="preserve">The implemented system already sends </w:t>
      </w:r>
      <w:r>
        <w:rPr>
          <w:b/>
          <w:bCs/>
        </w:rPr>
        <w:t xml:space="preserve">no student identifiers, names, scores, grades or risk results</w:t>
      </w:r>
      <w:r>
        <w:t xml:space="preserve"> to the AI provider. All performance calculations run on BTECH's server. The manuscript currently describes a less private design than the one built.</w:t>
      </w:r>
    </w:p>
    <w:p>
      <w:pPr>
        <w:spacing w:before="160" w:after="60"/>
      </w:pPr>
      <w:r>
        <w:rPr>
          <w:b/>
          <w:bCs/>
          <w:color w:val="059669"/>
          <w:sz w:val="17"/>
          <w:szCs w:val="17"/>
        </w:rPr>
        <w:t xml:space="preserve">REVISED TEXT</w:t>
      </w:r>
    </w:p>
    <w:p>
      <w:pPr>
        <w:spacing w:after="120" w:line="276"/>
      </w:pPr>
      <w:r>
        <w:rPr>
          <w:b/>
          <w:bCs/>
        </w:rPr>
        <w:t xml:space="preserve">Replace the "Client-Side Hashing" and "Anonymized Payloads" bullets in §3.9.1 with:</w:t>
      </w:r>
    </w:p>
    <w:p>
      <w:pPr>
        <w:pBdr>
          <w:left w:val="single" w:color="059669" w:sz="18" w:space="8"/>
        </w:pBdr>
        <w:shd w:fill="ECFDF5" w:color="auto" w:val="clear"/>
        <w:spacing w:after="40" w:line="264"/>
        <w:ind w:left="200" w:right="120"/>
      </w:pPr>
      <w:r>
        <w:rPr>
          <w:b/>
          <w:bCs/>
          <w:sz w:val="20"/>
          <w:szCs w:val="20"/>
        </w:rPr>
        <w:t xml:space="preserve">Hashing on Ingestion (Pseudonymization).</w:t>
      </w:r>
      <w:r>
        <w:rPr>
          <w:sz w:val="20"/>
          <w:szCs w:val="20"/>
        </w:rPr>
        <w:t xml:space="preserve"> Student identification numbers are hashed with SHA-256 and a secret institutional salt as soon as a CSV file is ingested, before storage: hashed_identifier = SHA-256(Student_ID + Salt). Hashing is pseudonymization, not anonymization: the data remains personal data under RA 10173 because BTECH can re-link it. It is therefore also protected by role-based access control, encryption in transit (TLS 1.3), and secrecy of the salt.</w:t>
      </w:r>
    </w:p>
    <w:p>
      <w:pPr>
        <w:pBdr>
          <w:left w:val="single" w:color="059669" w:sz="18" w:space="8"/>
        </w:pBdr>
        <w:shd w:fill="ECFDF5" w:color="auto" w:val="clear"/>
        <w:spacing w:after="160" w:line="264"/>
        <w:ind w:left="200" w:right="120"/>
      </w:pPr>
      <w:r>
        <w:rPr>
          <w:b/>
          <w:bCs/>
          <w:sz w:val="20"/>
          <w:szCs w:val="20"/>
        </w:rPr>
        <w:t xml:space="preserve">Data minimization for the AI service.</w:t>
      </w:r>
      <w:r>
        <w:rPr>
          <w:sz w:val="20"/>
          <w:szCs w:val="20"/>
        </w:rPr>
        <w:t xml:space="preserve"> The LLM is used only for text tasks. Student scores are never transmitted; all performance calculations (mastery, grade decline, risk classification, recommendations) run locally on BTECH's server. Table X lists what is sent to the external AI provider and what stays local.</w:t>
      </w:r>
    </w:p>
    <w:p>
      <w:pPr>
        <w:spacing w:after="120" w:line="276"/>
      </w:pPr>
      <w:r>
        <w:rPr>
          <w:b/>
          <w:bCs/>
        </w:rPr>
        <w:t xml:space="preserve">Add Table X to §3.9.1: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D1D5DB" w:sz="4"/>
              <w:left w:val="single" w:color="D1D5DB" w:sz="4"/>
              <w:bottom w:val="single" w:color="D1D5DB" w:sz="4"/>
              <w:right w:val="single" w:color="D1D5DB" w:sz="4"/>
            </w:tcBorders>
            <w:shd w:fill="1E1B4B" w:color="auto" w:val="clear"/>
            <w:tcMar>
              <w:top w:type="dxa" w:w="70"/>
              <w:left w:type="dxa" w:w="110"/>
              <w:bottom w:type="dxa" w:w="70"/>
              <w:right w:type="dxa" w:w="110"/>
            </w:tcMar>
          </w:tcPr>
          <w:p>
            <w:pPr>
              <w:spacing w:after="20"/>
            </w:pPr>
            <w:r>
              <w:rPr>
                <w:b/>
                <w:bCs/>
                <w:color w:val="FFFFFF"/>
                <w:sz w:val="18"/>
                <w:szCs w:val="18"/>
              </w:rPr>
              <w:t xml:space="preserve">Sent to the external AI provider</w:t>
            </w:r>
          </w:p>
        </w:tc>
        <w:tc>
          <w:tcPr>
            <w:tcW w:type="dxa" w:w="3000"/>
            <w:tcBorders>
              <w:top w:val="single" w:color="D1D5DB" w:sz="4"/>
              <w:left w:val="single" w:color="D1D5DB" w:sz="4"/>
              <w:bottom w:val="single" w:color="D1D5DB" w:sz="4"/>
              <w:right w:val="single" w:color="D1D5DB" w:sz="4"/>
            </w:tcBorders>
            <w:shd w:fill="1E1B4B" w:color="auto" w:val="clear"/>
            <w:tcMar>
              <w:top w:type="dxa" w:w="70"/>
              <w:left w:type="dxa" w:w="110"/>
              <w:bottom w:type="dxa" w:w="70"/>
              <w:right w:type="dxa" w:w="110"/>
            </w:tcMar>
          </w:tcPr>
          <w:p>
            <w:pPr>
              <w:spacing w:after="20"/>
            </w:pPr>
            <w:r>
              <w:rPr>
                <w:b/>
                <w:bCs/>
                <w:color w:val="FFFFFF"/>
                <w:sz w:val="18"/>
                <w:szCs w:val="18"/>
              </w:rPr>
              <w:t xml:space="preserve">Purpose</w:t>
            </w:r>
          </w:p>
        </w:tc>
        <w:tc>
          <w:tcPr>
            <w:tcW w:type="dxa" w:w="3160"/>
            <w:tcBorders>
              <w:top w:val="single" w:color="D1D5DB" w:sz="4"/>
              <w:left w:val="single" w:color="D1D5DB" w:sz="4"/>
              <w:bottom w:val="single" w:color="D1D5DB" w:sz="4"/>
              <w:right w:val="single" w:color="D1D5DB" w:sz="4"/>
            </w:tcBorders>
            <w:shd w:fill="1E1B4B" w:color="auto" w:val="clear"/>
            <w:tcMar>
              <w:top w:type="dxa" w:w="70"/>
              <w:left w:type="dxa" w:w="110"/>
              <w:bottom w:type="dxa" w:w="70"/>
              <w:right w:type="dxa" w:w="110"/>
            </w:tcMar>
          </w:tcPr>
          <w:p>
            <w:pPr>
              <w:spacing w:after="20"/>
            </w:pPr>
            <w:r>
              <w:rPr>
                <w:b/>
                <w:bCs/>
                <w:color w:val="FFFFFF"/>
                <w:sz w:val="18"/>
                <w:szCs w:val="18"/>
              </w:rPr>
              <w:t xml:space="preserve">Never sent (stored only in BTECH's PostgreSQL)</w:t>
            </w:r>
          </w:p>
        </w:tc>
      </w:tr>
      <w:t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Syllabus text (contact details removed)</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Extract competencies and learning outcomes</w:t>
            </w:r>
          </w:p>
        </w:tc>
        <w:tc>
          <w:tcPr>
            <w:tcW w:type="dxa" w:w="31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Student numbers, names, email addresses</w:t>
            </w:r>
          </w:p>
        </w:tc>
      </w:tr>
      <w:t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Assessment question text and the course's competency list</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Map each question to a competency</w:t>
            </w:r>
          </w:p>
        </w:tc>
        <w:tc>
          <w:tcPr>
            <w:tcW w:type="dxa" w:w="31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Scores, grades, mastery percentages</w:t>
            </w:r>
          </w:p>
        </w:tc>
      </w:tr>
      <w:t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Course and program learning outcomes</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Advisory alignment check during syllabus approval</w:t>
            </w:r>
          </w:p>
        </w:tc>
        <w:tc>
          <w:tcPr>
            <w:tcW w:type="dxa" w:w="31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Risk classifications and alerts</w:t>
            </w:r>
          </w:p>
        </w:tc>
      </w:tr>
      <w:t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Competency names and repository resource titles</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Suggest review resources for faculty to accept or decline</w:t>
            </w:r>
          </w:p>
        </w:tc>
        <w:tc>
          <w:tcPr>
            <w:tcW w:type="dxa" w:w="31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Interventions, consultations, attendance</w:t>
            </w:r>
          </w:p>
        </w:tc>
      </w:tr>
      <w:tr>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Names of weak topics and a resource title (no student identity)</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Optional short encouragement message</w:t>
            </w:r>
          </w:p>
        </w:tc>
        <w:tc>
          <w:tcPr>
            <w:tcW w:type="dxa" w:w="31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Audit logs and the AI response cache</w:t>
            </w:r>
          </w:p>
        </w:tc>
      </w:tr>
    </w:tbl>
    <w:p>
      <w:pPr>
        <w:spacing w:after="120"/>
      </w:pPr>
    </w:p>
    <w:p>
      <w:pPr>
        <w:spacing w:after="120" w:line="276"/>
      </w:pPr>
      <w:r>
        <w:rPr>
          <w:b/>
          <w:bCs/>
        </w:rPr>
        <w:t xml:space="preserve">§3.6.1 Step 3 — replace with:</w:t>
      </w:r>
    </w:p>
    <w:p>
      <w:pPr>
        <w:pBdr>
          <w:left w:val="single" w:color="059669" w:sz="18" w:space="8"/>
        </w:pBdr>
        <w:shd w:fill="ECFDF5" w:color="auto" w:val="clear"/>
        <w:spacing w:after="160" w:line="264"/>
        <w:ind w:left="200" w:right="120"/>
      </w:pPr>
      <w:r>
        <w:rPr>
          <w:sz w:val="20"/>
          <w:szCs w:val="20"/>
        </w:rPr>
        <w:t xml:space="preserve">Step 3: Pseudonymization &amp; Data Minimization: On ingestion, student identification numbers are hashed with SHA-256 and a secret salt. No student identifiers, names or scores are included in any request to the external AI provider; only question text and syllabus content are sent.</w:t>
      </w:r>
    </w:p>
    <w:p>
      <w:pPr>
        <w:pStyle w:val="Heading1"/>
      </w:pPr>
      <w:r>
        <w:t xml:space="preserve">7. "Zero data retention"</w:t>
      </w:r>
    </w:p>
    <w:p>
      <w:pPr>
        <w:spacing w:before="160" w:after="60"/>
      </w:pPr>
      <w:r>
        <w:rPr>
          <w:b/>
          <w:bCs/>
          <w:color w:val="6B7280"/>
          <w:sz w:val="17"/>
          <w:szCs w:val="17"/>
        </w:rPr>
        <w:t xml:space="preserve">PANELIST'S COMMENT</w:t>
      </w:r>
    </w:p>
    <w:p>
      <w:pPr>
        <w:pBdr>
          <w:left w:val="single" w:color="9CA3AF" w:sz="18" w:space="8"/>
        </w:pBdr>
        <w:shd w:fill="F3F4F6" w:color="auto" w:val="clear"/>
        <w:spacing w:after="160" w:line="264"/>
        <w:ind w:left="200" w:right="120"/>
      </w:pPr>
      <w:r>
        <w:rPr>
          <w:sz w:val="20"/>
          <w:szCs w:val="20"/>
        </w:rPr>
        <w:t xml:space="preserve">You state that enterprise API endpoints will operate under zero-data-retention terms. Please provide evidence that the actual API account/configuration that will be used in the implementation has those conditions. Do not state this as a guaranteed system feature unless you can document it.</w:t>
      </w:r>
    </w:p>
    <w:p>
      <w:pPr>
        <w:spacing w:before="160" w:after="60"/>
      </w:pPr>
      <w:r>
        <w:rPr>
          <w:b/>
          <w:bCs/>
          <w:color w:val="DC2626"/>
          <w:sz w:val="17"/>
          <w:szCs w:val="17"/>
        </w:rPr>
        <w:t xml:space="preserve">CURRENT MANUSCRIPT TEXT</w:t>
      </w:r>
    </w:p>
    <w:p>
      <w:pPr>
        <w:pBdr>
          <w:left w:val="single" w:color="DC2626" w:sz="18" w:space="8"/>
        </w:pBdr>
        <w:shd w:fill="FEF2F2" w:color="auto" w:val="clear"/>
        <w:spacing w:after="160" w:line="264"/>
        <w:ind w:left="200" w:right="120"/>
      </w:pPr>
      <w:r>
        <w:rPr>
          <w:sz w:val="20"/>
          <w:szCs w:val="20"/>
        </w:rPr>
        <w:t xml:space="preserve">§3.9.1: "Zero Data Retention Terms: The system utilizes enterprise API endpoints governed by agreements ensuring data sent via API calls is not retained or used to train public foundation models."</w:t>
      </w:r>
    </w:p>
    <w:p>
      <w:pPr>
        <w:spacing w:before="160" w:after="60"/>
      </w:pPr>
      <w:r>
        <w:rPr>
          <w:b/>
          <w:bCs/>
          <w:color w:val="059669"/>
          <w:sz w:val="17"/>
          <w:szCs w:val="17"/>
        </w:rPr>
        <w:t xml:space="preserve">REVISED TEXT</w:t>
      </w:r>
    </w:p>
    <w:p>
      <w:pPr>
        <w:pBdr>
          <w:left w:val="single" w:color="059669" w:sz="18" w:space="8"/>
        </w:pBdr>
        <w:shd w:fill="ECFDF5" w:color="auto" w:val="clear"/>
        <w:spacing w:after="160" w:line="264"/>
        <w:ind w:left="200" w:right="120"/>
      </w:pPr>
      <w:r>
        <w:rPr>
          <w:b/>
          <w:bCs/>
          <w:sz w:val="20"/>
          <w:szCs w:val="20"/>
        </w:rPr>
        <w:t xml:space="preserve">API Data Usage and Retention.</w:t>
      </w:r>
      <w:r>
        <w:rPr>
          <w:sz w:val="20"/>
          <w:szCs w:val="20"/>
        </w:rPr>
        <w:t xml:space="preserve"> Requests are sent to the OpenAI API under OpenAI's API data-usage policy, under which data submitted through the API is not used to train OpenAI's models by default. [State the retention period given in the policy in effect at deployment, with the URL and access date.] The system also requests that responses not be stored by the provider. Zero data retention is claimed only if BTECH's API organization is approved for it; the account configuration [and approval] are documented in Appendix X. The optional Google Gemini fallback is disabled during the pilot unless a paid account with equivalent terms is used.</w:t>
      </w:r>
    </w:p>
    <w:p>
      <w:pPr>
        <w:spacing w:after="120" w:line="276"/>
      </w:pPr>
      <w:r>
        <w:rPr>
          <w:b/>
          <w:bCs/>
        </w:rPr>
        <w:t xml:space="preserve">Before submitting:</w:t>
      </w:r>
      <w:r>
        <w:t xml:space="preserve"> check OpenAI's current API data-usage and retention terms and the settings of the actual account that will be used. Confirm whether that account belongs to BTECH or to you, and keep screenshots for the appendix. Do not keep the zero-data-retention claim without that evidence.</w:t>
      </w:r>
    </w:p>
    <w:p>
      <w:r>
        <w:br w:type="page"/>
      </w:r>
    </w:p>
    <w:p>
      <w:pPr>
        <w:pStyle w:val="Heading1"/>
      </w:pPr>
      <w:r>
        <w:t xml:space="preserve">8. Architecture and backend framework</w:t>
      </w:r>
    </w:p>
    <w:p>
      <w:pPr>
        <w:spacing w:before="160" w:after="60"/>
      </w:pPr>
      <w:r>
        <w:rPr>
          <w:b/>
          <w:bCs/>
          <w:color w:val="6B7280"/>
          <w:sz w:val="17"/>
          <w:szCs w:val="17"/>
        </w:rPr>
        <w:t xml:space="preserve">PANELIST'S COMMENT</w:t>
      </w:r>
    </w:p>
    <w:p>
      <w:pPr>
        <w:pBdr>
          <w:left w:val="single" w:color="9CA3AF" w:sz="18" w:space="8"/>
        </w:pBdr>
        <w:shd w:fill="F3F4F6" w:color="auto" w:val="clear"/>
        <w:spacing w:after="40" w:line="264"/>
        <w:ind w:left="200" w:right="120"/>
      </w:pPr>
      <w:r>
        <w:rPr>
          <w:sz w:val="20"/>
          <w:szCs w:val="20"/>
        </w:rPr>
        <w:t xml:space="preserve">You describe the system as MVC, but the architecture shown is essentially a three-tier architecture: frontend, application/backend, and data layer, with an external AI service. Use one architectural description consistently.</w:t>
      </w:r>
    </w:p>
    <w:p>
      <w:pPr>
        <w:pBdr>
          <w:left w:val="single" w:color="9CA3AF" w:sz="18" w:space="8"/>
        </w:pBdr>
        <w:shd w:fill="F3F4F6" w:color="auto" w:val="clear"/>
        <w:spacing w:after="160" w:line="264"/>
        <w:ind w:left="200" w:right="120"/>
      </w:pPr>
      <w:r>
        <w:rPr>
          <w:sz w:val="20"/>
          <w:szCs w:val="20"/>
        </w:rPr>
        <w:t xml:space="preserve">Also check whether you are using Flask or FastAPI. I saw both mentioned in the manuscript. Select the actual backend framework and use it consistently throughout.</w:t>
      </w:r>
    </w:p>
    <w:p>
      <w:pPr>
        <w:spacing w:before="160" w:after="60"/>
      </w:pPr>
      <w:r>
        <w:rPr>
          <w:b/>
          <w:bCs/>
          <w:color w:val="4338CA"/>
          <w:sz w:val="17"/>
          <w:szCs w:val="17"/>
        </w:rPr>
        <w:t xml:space="preserve">WHAT THE SYSTEM DOES NOW</w:t>
      </w:r>
    </w:p>
    <w:p>
      <w:pPr>
        <w:spacing w:after="120" w:line="276"/>
      </w:pPr>
      <w:r>
        <w:t xml:space="preserve">The system is built with </w:t>
      </w:r>
      <w:r>
        <w:rPr>
          <w:b/>
          <w:bCs/>
        </w:rPr>
        <w:t xml:space="preserve">FastAPI</w:t>
      </w:r>
      <w:r>
        <w:t xml:space="preserve"> and is a three-tier system: a React single-page frontend, a FastAPI application tier and a PostgreSQL data tier, with the OpenAI API as an external service and Nginx as the HTTPS reverse proxy. Use "three-tier" and "FastAPI" everywhere.</w:t>
      </w:r>
    </w:p>
    <w:p>
      <w:pPr>
        <w:spacing w:before="160" w:after="60"/>
      </w:pPr>
      <w:r>
        <w:rPr>
          <w:b/>
          <w:bCs/>
          <w:color w:val="059669"/>
          <w:sz w:val="17"/>
          <w:szCs w:val="17"/>
        </w:rPr>
        <w:t xml:space="preserve">REVISED TEXT</w:t>
      </w:r>
    </w:p>
    <w:p>
      <w:pPr>
        <w:spacing w:after="120" w:line="276"/>
      </w:pPr>
      <w:r>
        <w:rPr>
          <w:b/>
          <w:bCs/>
        </w:rPr>
        <w:t xml:space="preserve">§3.3 — replace the MVC paragraph and its three bullets with (and redraw the figure to match):</w:t>
      </w:r>
    </w:p>
    <w:p>
      <w:pPr>
        <w:pBdr>
          <w:left w:val="single" w:color="059669" w:sz="18" w:space="8"/>
        </w:pBdr>
        <w:shd w:fill="ECFDF5" w:color="auto" w:val="clear"/>
        <w:spacing w:after="40" w:line="264"/>
        <w:ind w:left="200" w:right="120"/>
      </w:pPr>
      <w:r>
        <w:rPr>
          <w:sz w:val="20"/>
          <w:szCs w:val="20"/>
        </w:rPr>
        <w:t xml:space="preserve">The system follows a three-tier architecture:</w:t>
      </w:r>
    </w:p>
    <w:p>
      <w:pPr>
        <w:pBdr>
          <w:left w:val="single" w:color="059669" w:sz="18" w:space="8"/>
        </w:pBdr>
        <w:shd w:fill="ECFDF5" w:color="auto" w:val="clear"/>
        <w:spacing w:after="40" w:line="264"/>
        <w:ind w:left="200" w:right="120"/>
      </w:pPr>
      <w:r>
        <w:rPr>
          <w:b/>
          <w:bCs/>
          <w:sz w:val="20"/>
          <w:szCs w:val="20"/>
        </w:rPr>
        <w:t xml:space="preserve">Presentation tier:</w:t>
      </w:r>
      <w:r>
        <w:rPr>
          <w:sz w:val="20"/>
          <w:szCs w:val="20"/>
        </w:rPr>
        <w:t xml:space="preserve"> a React.js single-page application with Chart.js dashboards, providing role-based views for faculty, students, and academic administrators.</w:t>
      </w:r>
    </w:p>
    <w:p>
      <w:pPr>
        <w:pBdr>
          <w:left w:val="single" w:color="059669" w:sz="18" w:space="8"/>
        </w:pBdr>
        <w:shd w:fill="ECFDF5" w:color="auto" w:val="clear"/>
        <w:spacing w:after="40" w:line="264"/>
        <w:ind w:left="200" w:right="120"/>
      </w:pPr>
      <w:r>
        <w:rPr>
          <w:b/>
          <w:bCs/>
          <w:sz w:val="20"/>
          <w:szCs w:val="20"/>
        </w:rPr>
        <w:t xml:space="preserve">Application tier:</w:t>
      </w:r>
      <w:r>
        <w:rPr>
          <w:sz w:val="20"/>
          <w:szCs w:val="20"/>
        </w:rPr>
        <w:t xml:space="preserve"> a Python FastAPI REST API that handles authentication (JWT), role-based access control, file ingestion, the rule-based analytics, and all calls to the external AI service.</w:t>
      </w:r>
    </w:p>
    <w:p>
      <w:pPr>
        <w:pBdr>
          <w:left w:val="single" w:color="059669" w:sz="18" w:space="8"/>
        </w:pBdr>
        <w:shd w:fill="ECFDF5" w:color="auto" w:val="clear"/>
        <w:spacing w:after="40" w:line="264"/>
        <w:ind w:left="200" w:right="120"/>
      </w:pPr>
      <w:r>
        <w:rPr>
          <w:b/>
          <w:bCs/>
          <w:sz w:val="20"/>
          <w:szCs w:val="20"/>
        </w:rPr>
        <w:t xml:space="preserve">Data tier:</w:t>
      </w:r>
      <w:r>
        <w:rPr>
          <w:sz w:val="20"/>
          <w:szCs w:val="20"/>
        </w:rPr>
        <w:t xml:space="preserve"> a PostgreSQL database storing courses, syllabi, competencies, pseudonymized assessment results, analytics, and audit logs.</w:t>
      </w:r>
    </w:p>
    <w:p>
      <w:pPr>
        <w:pBdr>
          <w:left w:val="single" w:color="059669" w:sz="18" w:space="8"/>
        </w:pBdr>
        <w:shd w:fill="ECFDF5" w:color="auto" w:val="clear"/>
        <w:spacing w:after="160" w:line="264"/>
        <w:ind w:left="200" w:right="120"/>
      </w:pPr>
      <w:r>
        <w:rPr>
          <w:sz w:val="20"/>
          <w:szCs w:val="20"/>
        </w:rPr>
        <w:t xml:space="preserve">An external AI service (OpenAI GPT-4o-mini API) is called only by the application tier. Nginx serves as the HTTPS (TLS 1.3) reverse proxy in front of the application.</w:t>
      </w:r>
    </w:p>
    <w:p>
      <w:pPr>
        <w:spacing w:after="120" w:line="276"/>
      </w:pPr>
      <w:r>
        <w:rPr>
          <w:b/>
          <w:bCs/>
        </w:rPr>
        <w:t xml:space="preserve">§2.2.2 — replace "Flask Web Framework" with:</w:t>
      </w:r>
    </w:p>
    <w:p>
      <w:pPr>
        <w:pBdr>
          <w:left w:val="single" w:color="059669" w:sz="18" w:space="8"/>
        </w:pBdr>
        <w:shd w:fill="ECFDF5" w:color="auto" w:val="clear"/>
        <w:spacing w:after="160" w:line="264"/>
        <w:ind w:left="200" w:right="120"/>
      </w:pPr>
      <w:r>
        <w:rPr>
          <w:b/>
          <w:bCs/>
          <w:sz w:val="20"/>
          <w:szCs w:val="20"/>
        </w:rPr>
        <w:t xml:space="preserve">2.2.2 FastAPI Web Framework.</w:t>
      </w:r>
      <w:r>
        <w:rPr>
          <w:sz w:val="20"/>
          <w:szCs w:val="20"/>
        </w:rPr>
        <w:t xml:space="preserve"> FastAPI is a modern, high-performance Python web framework used to build the system's REST API. It provides automatic request validation through Pydantic schemas, dependency injection for authentication and role checks, and asynchronous request handling suited to file uploads and calls to external AI services. Its automatically generated OpenAPI specification also supports API testing and security scanning. FastAPI was selected over Flask because built-in validation and dependency injection reduce custom code for the system's role-based access rules (Ramírez, 2024).</w:t>
      </w:r>
    </w:p>
    <w:p>
      <w:pPr>
        <w:spacing w:after="120" w:line="276"/>
      </w:pPr>
      <w:r>
        <w:rPr>
          <w:b/>
          <w:bCs/>
        </w:rPr>
        <w:t xml:space="preserve">Other places to correct: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1D5DB" w:sz="4"/>
              <w:left w:val="single" w:color="D1D5DB" w:sz="4"/>
              <w:bottom w:val="single" w:color="D1D5DB" w:sz="4"/>
              <w:right w:val="single" w:color="D1D5DB" w:sz="4"/>
            </w:tcBorders>
            <w:shd w:fill="1E1B4B" w:color="auto" w:val="clear"/>
            <w:tcMar>
              <w:top w:type="dxa" w:w="70"/>
              <w:left w:type="dxa" w:w="110"/>
              <w:bottom w:type="dxa" w:w="70"/>
              <w:right w:type="dxa" w:w="110"/>
            </w:tcMar>
          </w:tcPr>
          <w:p>
            <w:pPr>
              <w:spacing w:after="20"/>
            </w:pPr>
            <w:r>
              <w:rPr>
                <w:b/>
                <w:bCs/>
                <w:color w:val="FFFFFF"/>
                <w:sz w:val="18"/>
                <w:szCs w:val="18"/>
              </w:rPr>
              <w:t xml:space="preserve">Where</w:t>
            </w:r>
          </w:p>
        </w:tc>
        <w:tc>
          <w:tcPr>
            <w:tcW w:type="dxa" w:w="3380"/>
            <w:tcBorders>
              <w:top w:val="single" w:color="D1D5DB" w:sz="4"/>
              <w:left w:val="single" w:color="D1D5DB" w:sz="4"/>
              <w:bottom w:val="single" w:color="D1D5DB" w:sz="4"/>
              <w:right w:val="single" w:color="D1D5DB" w:sz="4"/>
            </w:tcBorders>
            <w:shd w:fill="1E1B4B" w:color="auto" w:val="clear"/>
            <w:tcMar>
              <w:top w:type="dxa" w:w="70"/>
              <w:left w:type="dxa" w:w="110"/>
              <w:bottom w:type="dxa" w:w="70"/>
              <w:right w:type="dxa" w:w="110"/>
            </w:tcMar>
          </w:tcPr>
          <w:p>
            <w:pPr>
              <w:spacing w:after="20"/>
            </w:pPr>
            <w:r>
              <w:rPr>
                <w:b/>
                <w:bCs/>
                <w:color w:val="FFFFFF"/>
                <w:sz w:val="18"/>
                <w:szCs w:val="18"/>
              </w:rPr>
              <w:t xml:space="preserve">Current</w:t>
            </w:r>
          </w:p>
        </w:tc>
        <w:tc>
          <w:tcPr>
            <w:tcW w:type="dxa" w:w="3380"/>
            <w:tcBorders>
              <w:top w:val="single" w:color="D1D5DB" w:sz="4"/>
              <w:left w:val="single" w:color="D1D5DB" w:sz="4"/>
              <w:bottom w:val="single" w:color="D1D5DB" w:sz="4"/>
              <w:right w:val="single" w:color="D1D5DB" w:sz="4"/>
            </w:tcBorders>
            <w:shd w:fill="1E1B4B" w:color="auto" w:val="clear"/>
            <w:tcMar>
              <w:top w:type="dxa" w:w="70"/>
              <w:left w:type="dxa" w:w="110"/>
              <w:bottom w:type="dxa" w:w="70"/>
              <w:right w:type="dxa" w:w="110"/>
            </w:tcMar>
          </w:tcPr>
          <w:p>
            <w:pPr>
              <w:spacing w:after="20"/>
            </w:pPr>
            <w:r>
              <w:rPr>
                <w:b/>
                <w:bCs/>
                <w:color w:val="FFFFFF"/>
                <w:sz w:val="18"/>
                <w:szCs w:val="18"/>
              </w:rPr>
              <w:t xml:space="preserve">Replace with</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Objective-to-Method Matrix, Obj 1 tools</w:t>
            </w:r>
          </w:p>
        </w:tc>
        <w:tc>
          <w:tcPr>
            <w:tcW w:type="dxa" w:w="33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Python 3.11, Pandas, PyPDF2, python-docx, Flask REST API</w:t>
            </w:r>
          </w:p>
        </w:tc>
        <w:tc>
          <w:tcPr>
            <w:tcW w:type="dxa" w:w="33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Python 3.12, Pandas, pdfplumber, python-docx, FastAPI REST API</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§3.5 tools table, Backend row</w:t>
            </w:r>
          </w:p>
        </w:tc>
        <w:tc>
          <w:tcPr>
            <w:tcW w:type="dxa" w:w="33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Python 3.11, Flask 3.0/FastAPI 0.100</w:t>
            </w:r>
          </w:p>
        </w:tc>
        <w:tc>
          <w:tcPr>
            <w:tcW w:type="dxa" w:w="33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Python 3.12, FastAPI 0.115, SQLAlchemy 2, Alembic</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§3.5 tools table / Obj 3</w:t>
            </w:r>
          </w:p>
        </w:tc>
        <w:tc>
          <w:tcPr>
            <w:tcW w:type="dxa" w:w="33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React.js 18, PostgreSQL 15</w:t>
            </w:r>
          </w:p>
        </w:tc>
        <w:tc>
          <w:tcPr>
            <w:tcW w:type="dxa" w:w="33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React.js 19, PostgreSQL 16</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§3.6.1 Step 2</w:t>
            </w:r>
          </w:p>
        </w:tc>
        <w:tc>
          <w:tcPr>
            <w:tcW w:type="dxa" w:w="33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PyPDF2</w:t>
            </w:r>
          </w:p>
        </w:tc>
        <w:tc>
          <w:tcPr>
            <w:tcW w:type="dxa" w:w="33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pdfplumber (with Tesseract OCR fallback for scanned PDFs)</w:t>
            </w:r>
          </w:p>
        </w:tc>
      </w:tr>
      <w:tr>
        <w:tc>
          <w:tcPr>
            <w:tcW w:type="dxa" w:w="2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References</w:t>
            </w:r>
          </w:p>
        </w:tc>
        <w:tc>
          <w:tcPr>
            <w:tcW w:type="dxa" w:w="33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Grinberg, M. (2022). Flask web development…</w:t>
            </w:r>
          </w:p>
        </w:tc>
        <w:tc>
          <w:tcPr>
            <w:tcW w:type="dxa" w:w="33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Remove; add: Ramírez, S. (2024). FastAPI documentation. https://fastapi.tiangolo.com/</w:t>
            </w:r>
          </w:p>
        </w:tc>
      </w:tr>
    </w:tbl>
    <w:p>
      <w:pPr>
        <w:spacing w:after="120"/>
      </w:pPr>
    </w:p>
    <w:p>
      <w:pPr>
        <w:pStyle w:val="Heading1"/>
      </w:pPr>
      <w:r>
        <w:t xml:space="preserve">9. Objective 3: rule-based versus AI-assisted</w:t>
      </w:r>
    </w:p>
    <w:p>
      <w:pPr>
        <w:spacing w:before="160" w:after="60"/>
      </w:pPr>
      <w:r>
        <w:rPr>
          <w:b/>
          <w:bCs/>
          <w:color w:val="6B7280"/>
          <w:sz w:val="17"/>
          <w:szCs w:val="17"/>
        </w:rPr>
        <w:t xml:space="preserve">PANELIST'S COMMENT</w:t>
      </w:r>
    </w:p>
    <w:p>
      <w:pPr>
        <w:pBdr>
          <w:left w:val="single" w:color="9CA3AF" w:sz="18" w:space="8"/>
        </w:pBdr>
        <w:shd w:fill="F3F4F6" w:color="auto" w:val="clear"/>
        <w:spacing w:after="160" w:line="264"/>
        <w:ind w:left="200" w:right="120"/>
      </w:pPr>
      <w:r>
        <w:rPr>
          <w:sz w:val="20"/>
          <w:szCs w:val="20"/>
        </w:rPr>
        <w:t xml:space="preserve">I suggest keeping these four objectives, but make sure Objective 3 explicitly separates what is rule-based performance analysis from what is genuinely AI-assisted. Do not call the whole recommendation process AI-driven when the resources are actually retrieved from a pre-tagged repository.</w:t>
      </w:r>
    </w:p>
    <w:p>
      <w:pPr>
        <w:spacing w:before="160" w:after="60"/>
      </w:pPr>
      <w:r>
        <w:rPr>
          <w:b/>
          <w:bCs/>
          <w:color w:val="DC2626"/>
          <w:sz w:val="17"/>
          <w:szCs w:val="17"/>
        </w:rPr>
        <w:t xml:space="preserve">CURRENT MANUSCRIPT TEXT</w:t>
      </w:r>
    </w:p>
    <w:p>
      <w:pPr>
        <w:pBdr>
          <w:left w:val="single" w:color="DC2626" w:sz="18" w:space="8"/>
        </w:pBdr>
        <w:shd w:fill="FEF2F2" w:color="auto" w:val="clear"/>
        <w:spacing w:after="160" w:line="264"/>
        <w:ind w:left="200" w:right="120"/>
      </w:pPr>
      <w:r>
        <w:rPr>
          <w:sz w:val="20"/>
          <w:szCs w:val="20"/>
        </w:rPr>
        <w:t xml:space="preserve">§1.2 Objective 3: "To develop a Performance Dashboard and Recommendation Engine that visualizes student competency mastery levels and generates rule-based/API-driven personalized remedial resource recommendations for at-risk students, with faculty review and override capabilities."</w:t>
      </w:r>
    </w:p>
    <w:p>
      <w:pPr>
        <w:spacing w:before="160" w:after="60"/>
      </w:pPr>
      <w:r>
        <w:rPr>
          <w:b/>
          <w:bCs/>
          <w:color w:val="059669"/>
          <w:sz w:val="17"/>
          <w:szCs w:val="17"/>
        </w:rPr>
        <w:t xml:space="preserve">REVISED TEXT</w:t>
      </w:r>
    </w:p>
    <w:p>
      <w:pPr>
        <w:pBdr>
          <w:left w:val="single" w:color="059669" w:sz="18" w:space="8"/>
        </w:pBdr>
        <w:shd w:fill="ECFDF5" w:color="auto" w:val="clear"/>
        <w:spacing w:after="160" w:line="264"/>
        <w:ind w:left="200" w:right="120"/>
      </w:pPr>
      <w:r>
        <w:rPr>
          <w:sz w:val="20"/>
          <w:szCs w:val="20"/>
        </w:rPr>
        <w:t xml:space="preserve">To develop a Performance Dashboard and Recommendation Module that (a) computes competency mastery and classifies academic risk using deterministic, rule-based thresholds; (b) retrieves remedial resources matched to each learning gap from a faculty-curated, competency-tagged repository; and (c) uses the LLM only in an assistive role, suggesting repository resources for faculty to accept or decline and generating an optional encouragement message, with faculty review and override of all outputs.</w:t>
      </w:r>
    </w:p>
    <w:p>
      <w:pPr>
        <w:spacing w:after="120" w:line="276"/>
      </w:pPr>
      <w:r>
        <w:rPr>
          <w:b/>
          <w:bCs/>
        </w:rPr>
        <w:t xml:space="preserve">Objective-to-Method Matrix, Obj 3 — Method/Module column:</w:t>
      </w:r>
    </w:p>
    <w:p>
      <w:pPr>
        <w:pBdr>
          <w:left w:val="single" w:color="059669" w:sz="18" w:space="8"/>
        </w:pBdr>
        <w:shd w:fill="ECFDF5" w:color="auto" w:val="clear"/>
        <w:spacing w:after="160" w:line="264"/>
        <w:ind w:left="200" w:right="120"/>
      </w:pPr>
      <w:r>
        <w:rPr>
          <w:sz w:val="20"/>
          <w:szCs w:val="20"/>
        </w:rPr>
        <w:t xml:space="preserve">Rule-based: CMS, GDI and At-Risk/On-Track/Excelling classification; repository retrieval by competency tags. AI-assisted (optional): LLM suggestion of repository resources for faculty acceptance; encouragement message. Chart.js visualization.</w:t>
      </w:r>
    </w:p>
    <w:p>
      <w:pPr>
        <w:pStyle w:val="Heading1"/>
      </w:pPr>
      <w:r>
        <w:t xml:space="preserve">10. Compliance Matrix</w:t>
      </w:r>
    </w:p>
    <w:p>
      <w:pPr>
        <w:spacing w:before="160" w:after="60"/>
      </w:pPr>
      <w:r>
        <w:rPr>
          <w:b/>
          <w:bCs/>
          <w:color w:val="6B7280"/>
          <w:sz w:val="17"/>
          <w:szCs w:val="17"/>
        </w:rPr>
        <w:t xml:space="preserve">PANELIST'S COMMENT</w:t>
      </w:r>
    </w:p>
    <w:p>
      <w:pPr>
        <w:pBdr>
          <w:left w:val="single" w:color="9CA3AF" w:sz="18" w:space="8"/>
        </w:pBdr>
        <w:shd w:fill="F3F4F6" w:color="auto" w:val="clear"/>
        <w:spacing w:after="160" w:line="264"/>
        <w:ind w:left="200" w:right="120"/>
      </w:pPr>
      <w:r>
        <w:rPr>
          <w:sz w:val="20"/>
          <w:szCs w:val="20"/>
        </w:rPr>
        <w:t xml:space="preserve">The matrix says the SUS protocol is "≤68", while the manuscript uses SUS ≥68 as the success criterion. This must be corrected. The latter is what you appear to intend. Also update the status of the client endorsement once the signed document is secured. The Compliance Matrix currently states that it is still waiting for the VPAR signature.</w:t>
      </w:r>
    </w:p>
    <w:p>
      <w:pPr>
        <w:spacing w:before="160" w:after="60"/>
      </w:pPr>
      <w:r>
        <w:rPr>
          <w:b/>
          <w:bCs/>
          <w:color w:val="059669"/>
          <w:sz w:val="17"/>
          <w:szCs w:val="17"/>
        </w:rPr>
        <w:t xml:space="preserve">ACTION</w:t>
      </w:r>
    </w:p>
    <w:p>
      <w:pPr>
        <w:pStyle w:val="ListParagraph"/>
        <w:numPr>
          <w:ilvl w:val="0"/>
          <w:numId w:val="2"/>
        </w:numPr>
        <w:spacing w:after="60" w:line="264"/>
      </w:pPr>
      <w:r>
        <w:t xml:space="preserve">Change the SUS criterion in the Compliance Matrix from "≤ 68" to </w:t>
      </w:r>
      <w:r>
        <w:rPr>
          <w:b/>
          <w:bCs/>
        </w:rPr>
        <w:t xml:space="preserve">"≥ 68"</w:t>
      </w:r>
      <w:r>
        <w:t xml:space="preserve">.</w:t>
      </w:r>
    </w:p>
    <w:p>
      <w:pPr>
        <w:pStyle w:val="ListParagraph"/>
        <w:numPr>
          <w:ilvl w:val="0"/>
          <w:numId w:val="2"/>
        </w:numPr>
        <w:spacing w:after="60" w:line="264"/>
      </w:pPr>
      <w:r>
        <w:t xml:space="preserve">Update the client endorsement status once the VPAR-signed document is secured, and attach the signed copy.</w:t>
      </w:r>
    </w:p>
    <w:p>
      <w:pPr>
        <w:pStyle w:val="ListParagraph"/>
        <w:numPr>
          <w:ilvl w:val="0"/>
          <w:numId w:val="2"/>
        </w:numPr>
        <w:spacing w:after="60" w:line="264"/>
      </w:pPr>
      <w:r>
        <w:t xml:space="preserve">Add one row for each of the ten comments in this review (see Section 11).</w:t>
      </w:r>
    </w:p>
    <w:p>
      <w:r>
        <w:br w:type="page"/>
      </w:r>
    </w:p>
    <w:p>
      <w:pPr>
        <w:pStyle w:val="Heading1"/>
      </w:pPr>
      <w:r>
        <w:t xml:space="preserve">11. Rows to add to the Compliance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660"/>
        <w:gridCol w:w="2100"/>
      </w:tblGrid>
      <w:tr>
        <w:trPr>
          <w:tblHeader/>
        </w:trPr>
        <w:tc>
          <w:tcPr>
            <w:tcW w:type="dxa" w:w="400"/>
            <w:tcBorders>
              <w:top w:val="single" w:color="D1D5DB" w:sz="4"/>
              <w:left w:val="single" w:color="D1D5DB" w:sz="4"/>
              <w:bottom w:val="single" w:color="D1D5DB" w:sz="4"/>
              <w:right w:val="single" w:color="D1D5DB" w:sz="4"/>
            </w:tcBorders>
            <w:shd w:fill="1E1B4B" w:color="auto" w:val="clear"/>
            <w:tcMar>
              <w:top w:type="dxa" w:w="70"/>
              <w:left w:type="dxa" w:w="110"/>
              <w:bottom w:type="dxa" w:w="70"/>
              <w:right w:type="dxa" w:w="110"/>
            </w:tcMar>
          </w:tcPr>
          <w:p>
            <w:pPr>
              <w:spacing w:after="20"/>
            </w:pPr>
            <w:r>
              <w:rPr>
                <w:b/>
                <w:bCs/>
                <w:color w:val="FFFFFF"/>
                <w:sz w:val="18"/>
                <w:szCs w:val="18"/>
              </w:rPr>
              <w:t xml:space="preserve">#</w:t>
            </w:r>
          </w:p>
        </w:tc>
        <w:tc>
          <w:tcPr>
            <w:tcW w:type="dxa" w:w="2200"/>
            <w:tcBorders>
              <w:top w:val="single" w:color="D1D5DB" w:sz="4"/>
              <w:left w:val="single" w:color="D1D5DB" w:sz="4"/>
              <w:bottom w:val="single" w:color="D1D5DB" w:sz="4"/>
              <w:right w:val="single" w:color="D1D5DB" w:sz="4"/>
            </w:tcBorders>
            <w:shd w:fill="1E1B4B" w:color="auto" w:val="clear"/>
            <w:tcMar>
              <w:top w:type="dxa" w:w="70"/>
              <w:left w:type="dxa" w:w="110"/>
              <w:bottom w:type="dxa" w:w="70"/>
              <w:right w:type="dxa" w:w="110"/>
            </w:tcMar>
          </w:tcPr>
          <w:p>
            <w:pPr>
              <w:spacing w:after="20"/>
            </w:pPr>
            <w:r>
              <w:rPr>
                <w:b/>
                <w:bCs/>
                <w:color w:val="FFFFFF"/>
                <w:sz w:val="18"/>
                <w:szCs w:val="18"/>
              </w:rPr>
              <w:t xml:space="preserve">Panel comment</w:t>
            </w:r>
          </w:p>
        </w:tc>
        <w:tc>
          <w:tcPr>
            <w:tcW w:type="dxa" w:w="4660"/>
            <w:tcBorders>
              <w:top w:val="single" w:color="D1D5DB" w:sz="4"/>
              <w:left w:val="single" w:color="D1D5DB" w:sz="4"/>
              <w:bottom w:val="single" w:color="D1D5DB" w:sz="4"/>
              <w:right w:val="single" w:color="D1D5DB" w:sz="4"/>
            </w:tcBorders>
            <w:shd w:fill="1E1B4B" w:color="auto" w:val="clear"/>
            <w:tcMar>
              <w:top w:type="dxa" w:w="70"/>
              <w:left w:type="dxa" w:w="110"/>
              <w:bottom w:type="dxa" w:w="70"/>
              <w:right w:type="dxa" w:w="110"/>
            </w:tcMar>
          </w:tcPr>
          <w:p>
            <w:pPr>
              <w:spacing w:after="20"/>
            </w:pPr>
            <w:r>
              <w:rPr>
                <w:b/>
                <w:bCs/>
                <w:color w:val="FFFFFF"/>
                <w:sz w:val="18"/>
                <w:szCs w:val="18"/>
              </w:rPr>
              <w:t xml:space="preserve">Action taken</w:t>
            </w:r>
          </w:p>
        </w:tc>
        <w:tc>
          <w:tcPr>
            <w:tcW w:type="dxa" w:w="2100"/>
            <w:tcBorders>
              <w:top w:val="single" w:color="D1D5DB" w:sz="4"/>
              <w:left w:val="single" w:color="D1D5DB" w:sz="4"/>
              <w:bottom w:val="single" w:color="D1D5DB" w:sz="4"/>
              <w:right w:val="single" w:color="D1D5DB" w:sz="4"/>
            </w:tcBorders>
            <w:shd w:fill="1E1B4B" w:color="auto" w:val="clear"/>
            <w:tcMar>
              <w:top w:type="dxa" w:w="70"/>
              <w:left w:type="dxa" w:w="110"/>
              <w:bottom w:type="dxa" w:w="70"/>
              <w:right w:type="dxa" w:w="110"/>
            </w:tcMar>
          </w:tcPr>
          <w:p>
            <w:pPr>
              <w:spacing w:after="20"/>
            </w:pPr>
            <w:r>
              <w:rPr>
                <w:b/>
                <w:bCs/>
                <w:color w:val="FFFFFF"/>
                <w:sz w:val="18"/>
                <w:szCs w:val="18"/>
              </w:rPr>
              <w:t xml:space="preserve">Section</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1</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Validate AI mapping against faculty ground truth</w:t>
            </w:r>
          </w:p>
        </w:tc>
        <w:tc>
          <w:tcPr>
            <w:tcW w:type="dxa" w:w="46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Added Mapping Validation Protocol: ≈306 items, two blind validators per course, PD adjudication, Cohen's κ, accuracy with 95% CI and by confidence band; confidence used only to prioritize review.</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§3.6.1, §3.6.2, §3.6.3, Obj 2 matrix</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2</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Justify at-risk thresholds</w:t>
            </w:r>
          </w:p>
        </w:tc>
        <w:tc>
          <w:tcPr>
            <w:tcW w:type="dxa" w:w="46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Removed Bloom/Guskey as source of specific values; thresholds stated as institutional operational values validated by BTECH; formula sign corrected.</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§3.8.2, Appendix [X]</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3</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Define "early"</w:t>
            </w:r>
          </w:p>
        </w:tc>
        <w:tc>
          <w:tcPr>
            <w:tcW w:type="dxa" w:w="46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Defined early intervention (alert on upload; alert and intervention before Midterm); added upload condition and timeliness measures.</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§1.5, §3.8.1, §3.11.2</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4</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Do not oversell</w:t>
            </w:r>
          </w:p>
        </w:tc>
        <w:tc>
          <w:tcPr>
            <w:tcW w:type="dxa" w:w="46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Added contribution statement; replaced predictive/AI-driven wording.</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Ch. 1, Ch. 2, §3.11.2</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5</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"Real-time"</w:t>
            </w:r>
          </w:p>
        </w:tc>
        <w:tc>
          <w:tcPr>
            <w:tcW w:type="dxa" w:w="46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Replaced with "updated upon assessment-data upload".</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§3.1, §3.11.2</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6</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Privacy of data sent to AI</w:t>
            </w:r>
          </w:p>
        </w:tc>
        <w:tc>
          <w:tcPr>
            <w:tcW w:type="dxa" w:w="46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Added data-minimization statement and table; scores never sent; hashing described as pseudonymization.</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§3.6.1, §3.9.1</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7</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Zero data retention</w:t>
            </w:r>
          </w:p>
        </w:tc>
        <w:tc>
          <w:tcPr>
            <w:tcW w:type="dxa" w:w="46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Replaced guarantee with documented API data-usage terms; evidence in appendix.</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§3.9.1, Appendix [X]</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8</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Architecture / framework</w:t>
            </w:r>
          </w:p>
        </w:tc>
        <w:tc>
          <w:tcPr>
            <w:tcW w:type="dxa" w:w="46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Three-tier architecture and FastAPI used throughout; figure redrawn; versions corrected.</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§2.2.2, §3.3, §3.5, Obj 1 matrix</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9</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Objective 3 too broad</w:t>
            </w:r>
          </w:p>
        </w:tc>
        <w:tc>
          <w:tcPr>
            <w:tcW w:type="dxa" w:w="46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Objective 3 split into rule-based analysis, repository retrieval, and limited AI assistance.</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§1.2, Obj 3 matrix</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10</w:t>
            </w:r>
          </w:p>
        </w:tc>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Compliance Matrix</w:t>
            </w:r>
          </w:p>
        </w:tc>
        <w:tc>
          <w:tcPr>
            <w:tcW w:type="dxa" w:w="46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SUS corrected to ≥ 68; endorsement status updated [date signed].</w:t>
            </w:r>
          </w:p>
        </w:tc>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20"/>
            </w:pPr>
            <w:r>
              <w:rPr>
                <w:color w:val="1F2937"/>
                <w:sz w:val="18"/>
                <w:szCs w:val="18"/>
              </w:rPr>
              <w:t xml:space="preserve">Compliance Matrix</w:t>
            </w:r>
          </w:p>
        </w:tc>
      </w:tr>
    </w:tbl>
    <w:p>
      <w:pPr>
        <w:spacing w:after="120"/>
      </w:pPr>
    </w:p>
    <w:p>
      <w:pPr>
        <w:pStyle w:val="Heading1"/>
      </w:pPr>
      <w:r>
        <w:t xml:space="preserve">12. Questions to settle with your adviser and BTECH</w:t>
      </w:r>
    </w:p>
    <w:p>
      <w:pPr>
        <w:spacing w:after="120" w:line="276"/>
      </w:pPr>
      <w:r>
        <w:t xml:space="preserve">These need an answer before the revised text is final. Each one fills a [square-bracket] placeholder above.</w:t>
      </w:r>
    </w:p>
    <w:p>
      <w:pPr>
        <w:pStyle w:val="ListParagraph"/>
        <w:numPr>
          <w:ilvl w:val="0"/>
          <w:numId w:val="3"/>
        </w:numPr>
        <w:spacing w:after="60" w:line="264"/>
      </w:pPr>
      <w:r>
        <w:rPr>
          <w:b/>
          <w:bCs/>
        </w:rPr>
        <w:t xml:space="preserve">Pilot items.</w:t>
      </w:r>
      <w:r>
        <w:t xml:space="preserve"> Which pilot courses will be used, and can about 306 assessment items (30 to 40 per course) be collected for validation?</w:t>
      </w:r>
    </w:p>
    <w:p>
      <w:pPr>
        <w:pStyle w:val="ListParagraph"/>
        <w:numPr>
          <w:ilvl w:val="0"/>
          <w:numId w:val="3"/>
        </w:numPr>
        <w:spacing w:after="60" w:line="264"/>
      </w:pPr>
      <w:r>
        <w:rPr>
          <w:b/>
          <w:bCs/>
        </w:rPr>
        <w:t xml:space="preserve">Validators.</w:t>
      </w:r>
      <w:r>
        <w:t xml:space="preserve"> Who are the two faculty validators for each course, and can the Program Director act as adjudicator? How much time can they give?</w:t>
      </w:r>
    </w:p>
    <w:p>
      <w:pPr>
        <w:pStyle w:val="ListParagraph"/>
        <w:numPr>
          <w:ilvl w:val="0"/>
          <w:numId w:val="3"/>
        </w:numPr>
        <w:spacing w:after="60" w:line="264"/>
      </w:pPr>
      <w:r>
        <w:rPr>
          <w:b/>
          <w:bCs/>
        </w:rPr>
        <w:t xml:space="preserve">Passing mark.</w:t>
      </w:r>
      <w:r>
        <w:t xml:space="preserve"> Which BTECH document (grading policy, Student Handbook) sets 75% as the passing mark, and which section and year should be cited?</w:t>
      </w:r>
    </w:p>
    <w:p>
      <w:pPr>
        <w:pStyle w:val="ListParagraph"/>
        <w:numPr>
          <w:ilvl w:val="0"/>
          <w:numId w:val="3"/>
        </w:numPr>
        <w:spacing w:after="60" w:line="264"/>
      </w:pPr>
      <w:r>
        <w:rPr>
          <w:b/>
          <w:bCs/>
        </w:rPr>
        <w:t xml:space="preserve">Threshold validation.</w:t>
      </w:r>
      <w:r>
        <w:t xml:space="preserve"> When can the Program Directors, Deans and VPAA review the 75% / three-gap / 15% thresholds, and will they sign a validation memo?</w:t>
      </w:r>
    </w:p>
    <w:p>
      <w:pPr>
        <w:pStyle w:val="ListParagraph"/>
        <w:numPr>
          <w:ilvl w:val="0"/>
          <w:numId w:val="3"/>
        </w:numPr>
        <w:spacing w:after="60" w:line="264"/>
      </w:pPr>
      <w:r>
        <w:rPr>
          <w:b/>
          <w:bCs/>
        </w:rPr>
        <w:t xml:space="preserve">Retrospective check.</w:t>
      </w:r>
      <w:r>
        <w:t xml:space="preserve"> Will BTECH allow last semester's assessment records to be used for the optional retrospective check of the thresholds, and under what data-privacy clearance?</w:t>
      </w:r>
    </w:p>
    <w:p>
      <w:pPr>
        <w:pStyle w:val="ListParagraph"/>
        <w:numPr>
          <w:ilvl w:val="0"/>
          <w:numId w:val="3"/>
        </w:numPr>
        <w:spacing w:after="60" w:line="264"/>
      </w:pPr>
      <w:r>
        <w:rPr>
          <w:b/>
          <w:bCs/>
        </w:rPr>
        <w:t xml:space="preserve">"Early" cut-off.</w:t>
      </w:r>
      <w:r>
        <w:t xml:space="preserve"> Is "before the Midterm examination" the right cut-off for BTECH, and is five school days from alert to intervention a realistic target?</w:t>
      </w:r>
    </w:p>
    <w:p>
      <w:pPr>
        <w:pStyle w:val="ListParagraph"/>
        <w:numPr>
          <w:ilvl w:val="0"/>
          <w:numId w:val="3"/>
        </w:numPr>
        <w:spacing w:after="60" w:line="264"/>
      </w:pPr>
      <w:r>
        <w:rPr>
          <w:b/>
          <w:bCs/>
        </w:rPr>
        <w:t xml:space="preserve">Upload discipline.</w:t>
      </w:r>
      <w:r>
        <w:t xml:space="preserve"> Will faculty commit to uploading each quiz's results within three school days?</w:t>
      </w:r>
    </w:p>
    <w:p>
      <w:pPr>
        <w:pStyle w:val="ListParagraph"/>
        <w:numPr>
          <w:ilvl w:val="0"/>
          <w:numId w:val="3"/>
        </w:numPr>
        <w:spacing w:after="60" w:line="264"/>
      </w:pPr>
      <w:r>
        <w:rPr>
          <w:b/>
          <w:bCs/>
        </w:rPr>
        <w:t xml:space="preserve">AI account.</w:t>
      </w:r>
      <w:r>
        <w:t xml:space="preserve"> Which OpenAI account will be used in the pilot (BTECH's or personal)? Can its data-usage settings be documented, and is zero-data-retention approval possible?</w:t>
      </w:r>
    </w:p>
    <w:p>
      <w:pPr>
        <w:pStyle w:val="ListParagraph"/>
        <w:numPr>
          <w:ilvl w:val="0"/>
          <w:numId w:val="3"/>
        </w:numPr>
        <w:spacing w:after="60" w:line="264"/>
      </w:pPr>
      <w:r>
        <w:rPr>
          <w:b/>
          <w:bCs/>
        </w:rPr>
        <w:t xml:space="preserve">Gemini fallback.</w:t>
      </w:r>
      <w:r>
        <w:t xml:space="preserve"> Should the optional Gemini fallback stay in the manuscript, or be removed to keep a single external provider?</w:t>
      </w:r>
    </w:p>
    <w:p>
      <w:pPr>
        <w:pStyle w:val="ListParagraph"/>
        <w:numPr>
          <w:ilvl w:val="0"/>
          <w:numId w:val="3"/>
        </w:numPr>
        <w:spacing w:after="60" w:line="264"/>
      </w:pPr>
      <w:r>
        <w:rPr>
          <w:b/>
          <w:bCs/>
        </w:rPr>
        <w:t xml:space="preserve">Title.</w:t>
      </w:r>
      <w:r>
        <w:t xml:space="preserve"> Keep "Early Academic Intervention" in the title with the new definition, or change it?</w:t>
      </w:r>
    </w:p>
    <w:p>
      <w:pPr>
        <w:pStyle w:val="ListParagraph"/>
        <w:numPr>
          <w:ilvl w:val="0"/>
          <w:numId w:val="3"/>
        </w:numPr>
        <w:spacing w:after="60" w:line="264"/>
      </w:pPr>
      <w:r>
        <w:rPr>
          <w:b/>
          <w:bCs/>
        </w:rPr>
        <w:t xml:space="preserve">Endorsement.</w:t>
      </w:r>
      <w:r>
        <w:t xml:space="preserve"> When will the VPAR-signed client endorsement be available for the Compliance Matrix?</w:t>
      </w:r>
    </w:p>
    <w:p>
      <w:r>
        <w:br w:type="page"/>
      </w:r>
    </w:p>
    <w:p>
      <w:pPr>
        <w:pStyle w:val="Heading1"/>
      </w:pPr>
      <w:r>
        <w:t xml:space="preserve">13. Likely redefense questions and suggested answers</w:t>
      </w:r>
    </w:p>
    <w:p>
      <w:pPr>
        <w:spacing w:before="140" w:after="40"/>
      </w:pPr>
      <w:r>
        <w:rPr>
          <w:b/>
          <w:bCs/>
          <w:color w:val="1E1B4B"/>
        </w:rPr>
        <w:t xml:space="preserve">Q: How do you know the AI's competency mapping is correct?</w:t>
      </w:r>
    </w:p>
    <w:p>
      <w:pPr>
        <w:spacing w:after="120" w:line="276"/>
      </w:pPr>
      <w:r>
        <w:t xml:space="preserve">A: We do not rely on the AI's confidence score. Accuracy is measured on a faculty-validated ground-truth set of about 306 items, labeled blind by two faculty per course with the Program Director resolving disagreements. We report accuracy with its confidence interval and the validators' agreement (Cohen's κ).</w:t>
      </w:r>
    </w:p>
    <w:p>
      <w:pPr>
        <w:spacing w:before="140" w:after="40"/>
      </w:pPr>
      <w:r>
        <w:rPr>
          <w:b/>
          <w:bCs/>
          <w:color w:val="1E1B4B"/>
        </w:rPr>
        <w:t xml:space="preserve">Q: Then why keep the 0.75 confidence threshold at all?</w:t>
      </w:r>
    </w:p>
    <w:p>
      <w:pPr>
        <w:spacing w:after="120" w:line="276"/>
      </w:pPr>
      <w:r>
        <w:t xml:space="preserve">A: Only to decide which items faculty should review first. During the pilot every mapping is confirmed by faculty. We also report accuracy separately for high- and low-confidence items to show whether the score is useful; auto-acceptance is enabled only if the high-confidence band meets the target.</w:t>
      </w:r>
    </w:p>
    <w:p>
      <w:pPr>
        <w:spacing w:before="140" w:after="40"/>
      </w:pPr>
      <w:r>
        <w:rPr>
          <w:b/>
          <w:bCs/>
          <w:color w:val="1E1B4B"/>
        </w:rPr>
        <w:t xml:space="preserve">Q: Where do 75%, three gaps and 15% come from?</w:t>
      </w:r>
    </w:p>
    <w:p>
      <w:pPr>
        <w:spacing w:after="120" w:line="276"/>
      </w:pPr>
      <w:r>
        <w:t xml:space="preserve">A: 75% is BTECH's passing mark. Three gaps and a 15% decline are operational rules validated by BTECH's academic administrators. They are configurable, so the institution can adjust them after the pilot.</w:t>
      </w:r>
    </w:p>
    <w:p>
      <w:pPr>
        <w:spacing w:before="140" w:after="40"/>
      </w:pPr>
      <w:r>
        <w:rPr>
          <w:b/>
          <w:bCs/>
          <w:color w:val="1E1B4B"/>
        </w:rPr>
        <w:t xml:space="preserve">Q: How early is "early"?</w:t>
      </w:r>
    </w:p>
    <w:p>
      <w:pPr>
        <w:spacing w:after="120" w:line="276"/>
      </w:pPr>
      <w:r>
        <w:t xml:space="preserve">A: An alert is raised when the results that first breach a threshold are uploaded, as early as the first Prelim quizzes. We count an intervention as early when the alert and the logged intervention both happen before the Midterm, and we report how many students meet that.</w:t>
      </w:r>
    </w:p>
    <w:p>
      <w:pPr>
        <w:spacing w:before="140" w:after="40"/>
      </w:pPr>
      <w:r>
        <w:rPr>
          <w:b/>
          <w:bCs/>
          <w:color w:val="1E1B4B"/>
        </w:rPr>
        <w:t xml:space="preserve">Q: Is this a predictive AI system?</w:t>
      </w:r>
    </w:p>
    <w:p>
      <w:pPr>
        <w:spacing w:after="120" w:line="276"/>
      </w:pPr>
      <w:r>
        <w:t xml:space="preserve">A: No. No model is trained. Risk is classified by deterministic rules on assessment results. The AI is used for text tasks only: reading syllabi, mapping questions to competencies, and suggesting library resources for faculty to approve. Faculty make the final decisions.</w:t>
      </w:r>
    </w:p>
    <w:p>
      <w:pPr>
        <w:spacing w:before="140" w:after="40"/>
      </w:pPr>
      <w:r>
        <w:rPr>
          <w:b/>
          <w:bCs/>
          <w:color w:val="1E1B4B"/>
        </w:rPr>
        <w:t xml:space="preserve">Q: Do you send student data to OpenAI?</w:t>
      </w:r>
    </w:p>
    <w:p>
      <w:pPr>
        <w:spacing w:after="120" w:line="276"/>
      </w:pPr>
      <w:r>
        <w:t xml:space="preserve">A: No student identifiers, names or scores are sent. Only syllabus content and question text go to the AI provider; all performance calculations are done on BTECH's server.</w:t>
      </w:r>
    </w:p>
    <w:p>
      <w:pPr>
        <w:spacing w:before="140" w:after="40"/>
      </w:pPr>
      <w:r>
        <w:rPr>
          <w:b/>
          <w:bCs/>
          <w:color w:val="1E1B4B"/>
        </w:rPr>
        <w:t xml:space="preserve">Q: Is zero data retention guaranteed?</w:t>
      </w:r>
    </w:p>
    <w:p>
      <w:pPr>
        <w:spacing w:after="120" w:line="276"/>
      </w:pPr>
      <w:r>
        <w:t xml:space="preserve">A: We claim only what the provider's API terms and our account settings document, which is attached in the appendix. We do not present zero data retention as a system feature unless the account is approved for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AILAS · Response to Panel Comments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620" w:hanging="400"/>
      </w:pPr>
    </w:lvl>
  </w:abstractNum>
  <w:abstractNum w:abstractNumId="4" w15:restartNumberingAfterBreak="0">
    <w:multiLevelType w:val="hybridMultilevel"/>
    <w:lvl w:ilvl="0" w15:tentative="1">
      <w:start w:val="1"/>
      <w:numFmt w:val="decimal"/>
      <w:lvlText w:val="%1."/>
      <w:lvlJc w:val="left"/>
      <w:pPr>
        <w:ind w:left="620" w:hanging="4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E1B4B"/>
      <w:sz w:val="30"/>
      <w:szCs w:val="30"/>
    </w:rPr>
  </w:style>
  <w:style w:type="paragraph" w:styleId="Heading2">
    <w:name w:val="Heading 2"/>
    <w:basedOn w:val="Normal"/>
    <w:next w:val="Normal"/>
    <w:qFormat/>
    <w:pPr>
      <w:spacing w:before="200" w:after="100"/>
      <w:outlineLvl w:val="1"/>
    </w:pPr>
    <w:rPr>
      <w:rFonts w:ascii="Arial" w:cs="Arial" w:eastAsia="Arial" w:hAnsi="Arial"/>
      <w:b/>
      <w:bCs/>
      <w:color w:val="4338CA"/>
      <w:sz w:val="25"/>
      <w:szCs w:val="25"/>
    </w:rPr>
  </w:style>
  <w:style w:type="paragraph" w:styleId="Heading3">
    <w:name w:val="Heading 3"/>
    <w:basedOn w:val="Normal"/>
    <w:next w:val="Normal"/>
    <w:qFormat/>
    <w:pPr>
      <w:spacing w:before="16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Panel Comments — Manuscript Revision Guide</dc:title>
  <dc:creator>AILAS project</dc:creator>
  <cp:lastModifiedBy>Un-named</cp:lastModifiedBy>
  <cp:revision>1</cp:revision>
  <dcterms:created xsi:type="dcterms:W3CDTF">2026-10-26T16:10:36.421Z</dcterms:created>
  <dcterms:modified xsi:type="dcterms:W3CDTF">2026-10-26T16:10:36.422Z</dcterms:modified>
</cp:coreProperties>
</file>

<file path=docProps/custom.xml><?xml version="1.0" encoding="utf-8"?>
<Properties xmlns="http://schemas.openxmlformats.org/officeDocument/2006/custom-properties" xmlns:vt="http://schemas.openxmlformats.org/officeDocument/2006/docPropsVTypes"/>
</file>