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sz w:val="56"/>
        </w:rPr>
        <w:t>CumulusVPN Audit</w:t>
      </w:r>
    </w:p>
    <w:p>
      <w:pPr>
        <w:jc w:val="center"/>
      </w:pPr>
      <w:r>
        <w:rPr>
          <w:sz w:val="28"/>
        </w:rPr>
        <w:t>FPN v1.2 Engineering Document</w:t>
      </w:r>
    </w:p>
    <w:p>
      <w:pPr>
        <w:jc w:val="center"/>
      </w:pPr>
      <w:r>
        <w:t>September 2026</w:t>
      </w:r>
    </w:p>
    <w:p>
      <w:r>
        <w:br w:type="page"/>
      </w:r>
    </w:p>
    <w:p>
      <w:pPr>
        <w:pStyle w:val="Heading1"/>
      </w:pPr>
      <w:r>
        <w:t>CumulusVPN Audit Plan for FPN</w:t>
      </w:r>
    </w:p>
    <w:p>
      <w:r>
        <w:rPr>
          <w:b/>
        </w:rPr>
        <w:t>Status:</w:t>
      </w:r>
      <w:r>
        <w:t xml:space="preserve"> Pre-implementation engineering document  </w:t>
      </w:r>
    </w:p>
    <w:p>
      <w:r>
        <w:rPr>
          <w:b/>
        </w:rPr>
        <w:t>FPN version:</w:t>
      </w:r>
      <w:r>
        <w:t xml:space="preserve"> v1.2  </w:t>
      </w:r>
    </w:p>
    <w:p>
      <w:r>
        <w:rPr>
          <w:b/>
        </w:rPr>
        <w:t>Purpose:</w:t>
      </w:r>
      <w:r>
        <w:t xml:space="preserve"> Decide what FPN should REUSE, ADAPT, REIMPLEMENT or NOT REQUIRE from CumulusVPN before code inheritance.</w:t>
      </w:r>
    </w:p>
    <w:p>
      <w:pPr>
        <w:pStyle w:val="Heading1"/>
      </w:pPr>
      <w:r>
        <w:t>1. Public Positioning</w:t>
      </w:r>
    </w:p>
    <w:p>
      <w:r>
        <w:t>CumulusVPN is treated as an upstream/reference implementation for the Flux-native VPN layer. FPN is not positioned as a competing clone. FPN generalizes the architecture into an open privacy relay protocol with private self-owned gateways, generic Docker portability, transport abstraction, DNS/proxy modes, Operator ID, unlinkable entitlement and later independently operated multi-hop.</w:t>
      </w:r>
    </w:p>
    <w:p>
      <w:pPr>
        <w:pStyle w:val="Heading1"/>
      </w:pPr>
      <w:r>
        <w:t>2. Audit Rule</w:t>
      </w:r>
    </w:p>
    <w:p>
      <w:r>
        <w:t>No source code is copied into FPN until the applicable license and dependency obligations are verified. Public GitHub visibility is not sufficient evidence of reuse permission.</w:t>
      </w:r>
    </w:p>
    <w:p>
      <w:r>
        <w:t>Each component receives one classification:</w:t>
      </w:r>
    </w:p>
    <w:p>
      <w:pPr>
        <w:pStyle w:val="ListBullet"/>
      </w:pPr>
      <w:r>
        <w:rPr>
          <w:b/>
        </w:rPr>
        <w:t>REUSE</w:t>
      </w:r>
      <w:r>
        <w:t xml:space="preserve"> — direct use is technically appropriate and license-compatible.</w:t>
      </w:r>
    </w:p>
    <w:p>
      <w:pPr>
        <w:pStyle w:val="ListBullet"/>
      </w:pPr>
      <w:r>
        <w:rPr>
          <w:b/>
        </w:rPr>
        <w:t>ADAPT</w:t>
      </w:r>
      <w:r>
        <w:t xml:space="preserve"> — reuse is appropriate after architectural changes.</w:t>
      </w:r>
    </w:p>
    <w:p>
      <w:pPr>
        <w:pStyle w:val="ListBullet"/>
      </w:pPr>
      <w:r>
        <w:rPr>
          <w:b/>
        </w:rPr>
        <w:t>REIMPLEMENT</w:t>
      </w:r>
      <w:r>
        <w:t xml:space="preserve"> — retain the idea/protocol behavior but implement independently.</w:t>
      </w:r>
    </w:p>
    <w:p>
      <w:pPr>
        <w:pStyle w:val="ListBullet"/>
      </w:pPr>
      <w:r>
        <w:rPr>
          <w:b/>
        </w:rPr>
        <w:t>NOT REQUIRED</w:t>
      </w:r>
      <w:r>
        <w:t xml:space="preserve"> — not needed by FPN.</w:t>
      </w:r>
    </w:p>
    <w:p>
      <w:pPr>
        <w:pStyle w:val="Heading1"/>
      </w:pPr>
      <w:r>
        <w:t>3. Component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Component</w:t>
            </w:r>
          </w:p>
        </w:tc>
        <w:tc>
          <w:tcPr>
            <w:tcW w:type="dxa" w:w="3312"/>
          </w:tcPr>
          <w:p>
            <w:r>
              <w:t>Initial FPN view</w:t>
            </w:r>
          </w:p>
        </w:tc>
        <w:tc>
          <w:tcPr>
            <w:tcW w:type="dxa" w:w="3312"/>
          </w:tcPr>
          <w:p>
            <w:r>
              <w:t>Questions to resolve</w:t>
            </w:r>
          </w:p>
        </w:tc>
      </w:tr>
      <w:tr>
        <w:tc>
          <w:tcPr>
            <w:tcW w:type="dxa" w:w="3312"/>
          </w:tcPr>
          <w:p>
            <w:r>
              <w:t>Gateway userspace WireGuard</w:t>
            </w:r>
          </w:p>
        </w:tc>
        <w:tc>
          <w:tcPr>
            <w:tcW w:type="dxa" w:w="3312"/>
          </w:tcPr>
          <w:p>
            <w:r>
              <w:t>ADAPT candidate</w:t>
            </w:r>
          </w:p>
        </w:tc>
        <w:tc>
          <w:tcPr>
            <w:tcW w:type="dxa" w:w="3312"/>
          </w:tcPr>
          <w:p>
            <w:r>
              <w:t>Performance, API boundaries, license, netstack coupling</w:t>
            </w:r>
          </w:p>
        </w:tc>
      </w:tr>
      <w:tr>
        <w:tc>
          <w:tcPr>
            <w:tcW w:type="dxa" w:w="3312"/>
          </w:tcPr>
          <w:p>
            <w:r>
              <w:t>gVisor/netstack integration</w:t>
            </w:r>
          </w:p>
        </w:tc>
        <w:tc>
          <w:tcPr>
            <w:tcW w:type="dxa" w:w="3312"/>
          </w:tcPr>
          <w:p>
            <w:r>
              <w:t>ADAPT/REUSE candidate</w:t>
            </w:r>
          </w:p>
        </w:tc>
        <w:tc>
          <w:tcPr>
            <w:tcW w:type="dxa" w:w="3312"/>
          </w:tcPr>
          <w:p>
            <w:r>
              <w:t>Throughput, maintenance, dependency terms</w:t>
            </w:r>
          </w:p>
        </w:tc>
      </w:tr>
      <w:tr>
        <w:tc>
          <w:tcPr>
            <w:tcW w:type="dxa" w:w="3312"/>
          </w:tcPr>
          <w:p>
            <w:r>
              <w:t>Enrollment API</w:t>
            </w:r>
          </w:p>
        </w:tc>
        <w:tc>
          <w:tcPr>
            <w:tcW w:type="dxa" w:w="3312"/>
          </w:tcPr>
          <w:p>
            <w:r>
              <w:t>REIMPLEMENT candidate</w:t>
            </w:r>
          </w:p>
        </w:tc>
        <w:tc>
          <w:tcPr>
            <w:tcW w:type="dxa" w:w="3312"/>
          </w:tcPr>
          <w:p>
            <w:r>
              <w:t>FPN pairing and future short-lived entitlement differ</w:t>
            </w:r>
          </w:p>
        </w:tc>
      </w:tr>
      <w:tr>
        <w:tc>
          <w:tcPr>
            <w:tcW w:type="dxa" w:w="3312"/>
          </w:tcPr>
          <w:p>
            <w:r>
              <w:t>WireGuard key identity</w:t>
            </w:r>
          </w:p>
        </w:tc>
        <w:tc>
          <w:tcPr>
            <w:tcW w:type="dxa" w:w="3312"/>
          </w:tcPr>
          <w:p>
            <w:r>
              <w:t>REIMPLEMENT</w:t>
            </w:r>
          </w:p>
        </w:tc>
        <w:tc>
          <w:tcPr>
            <w:tcW w:type="dxa" w:w="3312"/>
          </w:tcPr>
          <w:p>
            <w:r>
              <w:t>FPN separates tunnel, device and payment identity</w:t>
            </w:r>
          </w:p>
        </w:tc>
      </w:tr>
      <w:tr>
        <w:tc>
          <w:tcPr>
            <w:tcW w:type="dxa" w:w="3312"/>
          </w:tcPr>
          <w:p>
            <w:r>
              <w:t>Flux app discovery</w:t>
            </w:r>
          </w:p>
        </w:tc>
        <w:tc>
          <w:tcPr>
            <w:tcW w:type="dxa" w:w="3312"/>
          </w:tcPr>
          <w:p>
            <w:r>
              <w:t>ADAPT</w:t>
            </w:r>
          </w:p>
        </w:tc>
        <w:tc>
          <w:tcPr>
            <w:tcW w:type="dxa" w:w="3312"/>
          </w:tcPr>
          <w:p>
            <w:r>
              <w:t>Must add cache/bootstrap/direct-probe failure paths</w:t>
            </w:r>
          </w:p>
        </w:tc>
      </w:tr>
      <w:tr>
        <w:tc>
          <w:tcPr>
            <w:tcW w:type="dxa" w:w="3312"/>
          </w:tcPr>
          <w:p>
            <w:r>
              <w:t>FLUX chain scanner</w:t>
            </w:r>
          </w:p>
        </w:tc>
        <w:tc>
          <w:tcPr>
            <w:tcW w:type="dxa" w:w="3312"/>
          </w:tcPr>
          <w:p>
            <w:r>
              <w:t>ADAPT candidate</w:t>
            </w:r>
          </w:p>
        </w:tc>
        <w:tc>
          <w:tcPr>
            <w:tcW w:type="dxa" w:w="3312"/>
          </w:tcPr>
          <w:p>
            <w:r>
              <w:t>Settlement useful; direct TX→WG identity is not target design</w:t>
            </w:r>
          </w:p>
        </w:tc>
      </w:tr>
      <w:tr>
        <w:tc>
          <w:tcPr>
            <w:tcW w:type="dxa" w:w="3312"/>
          </w:tcPr>
          <w:p>
            <w:r>
              <w:t>OP_RETURN payment binding</w:t>
            </w:r>
          </w:p>
        </w:tc>
        <w:tc>
          <w:tcPr>
            <w:tcW w:type="dxa" w:w="3312"/>
          </w:tcPr>
          <w:p>
            <w:r>
              <w:t>NOT TARGET DESIGN</w:t>
            </w:r>
          </w:p>
        </w:tc>
        <w:tc>
          <w:tcPr>
            <w:tcW w:type="dxa" w:w="3312"/>
          </w:tcPr>
          <w:p>
            <w:r>
              <w:t>Avoid durable payment/session linkage</w:t>
            </w:r>
          </w:p>
        </w:tc>
      </w:tr>
      <w:tr>
        <w:tc>
          <w:tcPr>
            <w:tcW w:type="dxa" w:w="3312"/>
          </w:tcPr>
          <w:p>
            <w:r>
              <w:t>Per-key rate limiter</w:t>
            </w:r>
          </w:p>
        </w:tc>
        <w:tc>
          <w:tcPr>
            <w:tcW w:type="dxa" w:w="3312"/>
          </w:tcPr>
          <w:p>
            <w:r>
              <w:t>ADAPT candidate</w:t>
            </w:r>
          </w:p>
        </w:tc>
        <w:tc>
          <w:tcPr>
            <w:tcW w:type="dxa" w:w="3312"/>
          </w:tcPr>
          <w:p>
            <w:r>
              <w:t>Useful for service policy, not identity architecture</w:t>
            </w:r>
          </w:p>
        </w:tc>
      </w:tr>
      <w:tr>
        <w:tc>
          <w:tcPr>
            <w:tcW w:type="dxa" w:w="3312"/>
          </w:tcPr>
          <w:p>
            <w:r>
              <w:t>Desktop client</w:t>
            </w:r>
          </w:p>
        </w:tc>
        <w:tc>
          <w:tcPr>
            <w:tcW w:type="dxa" w:w="3312"/>
          </w:tcPr>
          <w:p>
            <w:r>
              <w:t>AUDIT</w:t>
            </w:r>
          </w:p>
        </w:tc>
        <w:tc>
          <w:tcPr>
            <w:tcW w:type="dxa" w:w="3312"/>
          </w:tcPr>
          <w:p>
            <w:r>
              <w:t>UX/stack comparison with FPN Tauri/Rust plan</w:t>
            </w:r>
          </w:p>
        </w:tc>
      </w:tr>
      <w:tr>
        <w:tc>
          <w:tcPr>
            <w:tcW w:type="dxa" w:w="3312"/>
          </w:tcPr>
          <w:p>
            <w:r>
              <w:t>Mobile clients</w:t>
            </w:r>
          </w:p>
        </w:tc>
        <w:tc>
          <w:tcPr>
            <w:tcW w:type="dxa" w:w="3312"/>
          </w:tcPr>
          <w:p>
            <w:r>
              <w:t>AUDIT</w:t>
            </w:r>
          </w:p>
        </w:tc>
        <w:tc>
          <w:tcPr>
            <w:tcW w:type="dxa" w:w="3312"/>
          </w:tcPr>
          <w:p>
            <w:r>
              <w:t>Native tunnel path maturity and store constraints</w:t>
            </w:r>
          </w:p>
        </w:tc>
      </w:tr>
      <w:tr>
        <w:tc>
          <w:tcPr>
            <w:tcW w:type="dxa" w:w="3312"/>
          </w:tcPr>
          <w:p>
            <w:r>
              <w:t>Web onboarding</w:t>
            </w:r>
          </w:p>
        </w:tc>
        <w:tc>
          <w:tcPr>
            <w:tcW w:type="dxa" w:w="3312"/>
          </w:tcPr>
          <w:p>
            <w:r>
              <w:t>AUDIT</w:t>
            </w:r>
          </w:p>
        </w:tc>
        <w:tc>
          <w:tcPr>
            <w:tcW w:type="dxa" w:w="3312"/>
          </w:tcPr>
          <w:p>
            <w:r>
              <w:t>Useful patterns; FPN should avoid mandatory web dependency</w:t>
            </w:r>
          </w:p>
        </w:tc>
      </w:tr>
      <w:tr>
        <w:tc>
          <w:tcPr>
            <w:tcW w:type="dxa" w:w="3312"/>
          </w:tcPr>
          <w:p>
            <w:r>
              <w:t>Flux deployment specs</w:t>
            </w:r>
          </w:p>
        </w:tc>
        <w:tc>
          <w:tcPr>
            <w:tcW w:type="dxa" w:w="3312"/>
          </w:tcPr>
          <w:p>
            <w:r>
              <w:t>ADAPT candidate</w:t>
            </w:r>
          </w:p>
        </w:tc>
        <w:tc>
          <w:tcPr>
            <w:tcW w:type="dxa" w:w="3312"/>
          </w:tcPr>
          <w:p>
            <w:r>
              <w:t>FPN needs public + private + generic Docker paths</w:t>
            </w:r>
          </w:p>
        </w:tc>
      </w:tr>
      <w:tr>
        <w:tc>
          <w:tcPr>
            <w:tcW w:type="dxa" w:w="3312"/>
          </w:tcPr>
          <w:p>
            <w:r>
              <w:t>Abuse/legal docs</w:t>
            </w:r>
          </w:p>
        </w:tc>
        <w:tc>
          <w:tcPr>
            <w:tcW w:type="dxa" w:w="3312"/>
          </w:tcPr>
          <w:p>
            <w:r>
              <w:t>REUSE AS REFERENCE</w:t>
            </w:r>
          </w:p>
        </w:tc>
        <w:tc>
          <w:tcPr>
            <w:tcW w:type="dxa" w:w="3312"/>
          </w:tcPr>
          <w:p>
            <w:r>
              <w:t>Validate jurisdiction and project-specific assumptions</w:t>
            </w:r>
          </w:p>
        </w:tc>
      </w:tr>
      <w:tr>
        <w:tc>
          <w:tcPr>
            <w:tcW w:type="dxa" w:w="3312"/>
          </w:tcPr>
          <w:p>
            <w:r>
              <w:t>CI/reproducible build</w:t>
            </w:r>
          </w:p>
        </w:tc>
        <w:tc>
          <w:tcPr>
            <w:tcW w:type="dxa" w:w="3312"/>
          </w:tcPr>
          <w:p>
            <w:r>
              <w:t>AUDIT</w:t>
            </w:r>
          </w:p>
        </w:tc>
        <w:tc>
          <w:tcPr>
            <w:tcW w:type="dxa" w:w="3312"/>
          </w:tcPr>
          <w:p>
            <w:r>
              <w:t>Prefer reuse of proven patterns if license-compatible</w:t>
            </w:r>
          </w:p>
        </w:tc>
      </w:tr>
    </w:tbl>
    <w:p>
      <w:pPr>
        <w:pStyle w:val="Heading1"/>
      </w:pPr>
      <w:r>
        <w:t>4. Required Evidence per Component</w:t>
      </w:r>
    </w:p>
    <w:p>
      <w:r>
        <w:t>For every REUSE or ADAPT decision record:</w:t>
      </w:r>
    </w:p>
    <w:p>
      <w:r>
        <w:t>1. repository path and commit hash;</w:t>
      </w:r>
    </w:p>
    <w:p>
      <w:r>
        <w:t>2. copyright holder;</w:t>
      </w:r>
    </w:p>
    <w:p>
      <w:r>
        <w:t>3. license file or explicit license statement;</w:t>
      </w:r>
    </w:p>
    <w:p>
      <w:r>
        <w:t>4. dependency licenses;</w:t>
      </w:r>
    </w:p>
    <w:p>
      <w:r>
        <w:t>5. security-sensitive dependencies;</w:t>
      </w:r>
    </w:p>
    <w:p>
      <w:r>
        <w:t>6. tests and current implementation maturity;</w:t>
      </w:r>
    </w:p>
    <w:p>
      <w:r>
        <w:t>7. FPN architectural changes required;</w:t>
      </w:r>
    </w:p>
    <w:p>
      <w:r>
        <w:t>8. performance evidence;</w:t>
      </w:r>
    </w:p>
    <w:p>
      <w:r>
        <w:t>9. maintenance ownership;</w:t>
      </w:r>
    </w:p>
    <w:p>
      <w:r>
        <w:t>10. final decision and reviewer.</w:t>
      </w:r>
    </w:p>
    <w:p>
      <w:pPr>
        <w:pStyle w:val="Heading1"/>
      </w:pPr>
      <w:r>
        <w:t>5. Technical Questions</w:t>
      </w:r>
    </w:p>
    <w:p>
      <w:r>
        <w:t>The audit must answer:</w:t>
      </w:r>
    </w:p>
    <w:p>
      <w:pPr>
        <w:pStyle w:val="ListBullet"/>
      </w:pPr>
      <w:r>
        <w:t>Does the gateway actually pass full-device traffic end-to-end on current Flux?</w:t>
      </w:r>
    </w:p>
    <w:p>
      <w:pPr>
        <w:pStyle w:val="ListBullet"/>
      </w:pPr>
      <w:r>
        <w:t>Which tunnel paths are implemented versus scaffolded?</w:t>
      </w:r>
    </w:p>
    <w:p>
      <w:pPr>
        <w:pStyle w:val="ListBullet"/>
      </w:pPr>
      <w:r>
        <w:t>What are the measured CPU/RAM/throughput characteristics?</w:t>
      </w:r>
    </w:p>
    <w:p>
      <w:pPr>
        <w:pStyle w:val="ListBullet"/>
      </w:pPr>
      <w:r>
        <w:t>How is UDP ingress handled across Flux placements?</w:t>
      </w:r>
    </w:p>
    <w:p>
      <w:pPr>
        <w:pStyle w:val="ListBullet"/>
      </w:pPr>
      <w:r>
        <w:t>What assumptions are made about api.runonflux.io availability?</w:t>
      </w:r>
    </w:p>
    <w:p>
      <w:pPr>
        <w:pStyle w:val="ListBullet"/>
      </w:pPr>
      <w:r>
        <w:t>How does payment scanning recover from chain/API failure?</w:t>
      </w:r>
    </w:p>
    <w:p>
      <w:pPr>
        <w:pStyle w:val="ListBullet"/>
      </w:pPr>
      <w:r>
        <w:t>Which identity fields become persistent correlators?</w:t>
      </w:r>
    </w:p>
    <w:p>
      <w:pPr>
        <w:pStyle w:val="ListBullet"/>
      </w:pPr>
      <w:r>
        <w:t>Are any logs or metrics privacy-sensitive?</w:t>
      </w:r>
    </w:p>
    <w:p>
      <w:pPr>
        <w:pStyle w:val="ListBullet"/>
      </w:pPr>
      <w:r>
        <w:t>Can the gateway be cleanly separated from Cumulus-specific entitlement?</w:t>
      </w:r>
    </w:p>
    <w:p>
      <w:pPr>
        <w:pStyle w:val="ListBullet"/>
      </w:pPr>
      <w:r>
        <w:t>Can FPN preserve compatibility with standard WireGuard clients during the MVP?</w:t>
      </w:r>
    </w:p>
    <w:p>
      <w:pPr>
        <w:pStyle w:val="Heading1"/>
      </w:pPr>
      <w:r>
        <w:t>6. Decision Gate</w:t>
      </w:r>
    </w:p>
    <w:p>
      <w:r>
        <w:t>FPN 0.1 implementation does not depend on completing every Cumulus feature. It does require a written decision for the gateway, netstack, discovery and payment components. Unknown licensing defaults to REIMPLEMENT or defer.</w:t>
      </w:r>
    </w:p>
    <w:p>
      <w:pPr>
        <w:pStyle w:val="Heading1"/>
      </w:pPr>
      <w:r>
        <w:t>7. Initial Architectural Arbitration</w:t>
      </w:r>
    </w:p>
    <w:p>
      <w:r>
        <w:t>FPN currently expects:</w:t>
      </w:r>
    </w:p>
    <w:p>
      <w:pPr>
        <w:pStyle w:val="ListBullet"/>
      </w:pPr>
      <w:r>
        <w:t>userspace WireGuard concept: retain;</w:t>
      </w:r>
    </w:p>
    <w:p>
      <w:pPr>
        <w:pStyle w:val="ListBullet"/>
      </w:pPr>
      <w:r>
        <w:t>Flux container constraints: treat as validated engineering input;</w:t>
      </w:r>
    </w:p>
    <w:p>
      <w:pPr>
        <w:pStyle w:val="ListBullet"/>
      </w:pPr>
      <w:r>
        <w:t>direct WireGuard-key-as-payment-identity: do not retain as long-term architecture;</w:t>
      </w:r>
    </w:p>
    <w:p>
      <w:pPr>
        <w:pStyle w:val="ListBullet"/>
      </w:pPr>
      <w:r>
        <w:t>Flux API discovery: retain only as one discovery source;</w:t>
      </w:r>
    </w:p>
    <w:p>
      <w:pPr>
        <w:pStyle w:val="ListBullet"/>
      </w:pPr>
      <w:r>
        <w:t>generic Docker gateway: implement as a first-class MVP proof;</w:t>
      </w:r>
    </w:p>
    <w:p>
      <w:pPr>
        <w:pStyle w:val="ListBullet"/>
      </w:pPr>
      <w:r>
        <w:t>public paid tier: defer until unlinkable entitlement exists.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CumulusVPN Audit — FPN v1.2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