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PROVISIONAL PATENT APPLICATION</w:t>
      </w:r>
    </w:p>
    <w:p>
      <w:pPr>
        <w:spacing w:after="200"/>
        <w:jc w:val="center"/>
      </w:pPr>
      <w:r>
        <w:rPr>
          <w:rFonts w:ascii="Times New Roman" w:cs="Times New Roman" w:eastAsia="Times New Roman" w:hAnsi="Times New Roman"/>
          <w:sz w:val="24"/>
          <w:szCs w:val="24"/>
        </w:rPr>
        <w:t xml:space="preserve">Under 35 U.S.C. §111(b)</w:t>
      </w:r>
    </w:p>
    <w:p>
      <w:pPr>
        <w:spacing w:after="100"/>
      </w:pPr>
      <w:r>
        <w:rPr>
          <w:rFonts w:ascii="Times New Roman" w:cs="Times New Roman" w:eastAsia="Times New Roman" w:hAnsi="Times New Roman"/>
          <w:b/>
          <w:bCs/>
          <w:sz w:val="24"/>
          <w:szCs w:val="24"/>
        </w:rPr>
        <w:t xml:space="preserve">Title of Invention: </w:t>
      </w:r>
      <w:r>
        <w:rPr>
          <w:rFonts w:ascii="Times New Roman" w:cs="Times New Roman" w:eastAsia="Times New Roman" w:hAnsi="Times New Roman"/>
          <w:sz w:val="24"/>
          <w:szCs w:val="24"/>
        </w:rPr>
        <w:t xml:space="preserve">Agent Experience Transfer Protocol (AXTP): A System and Method for Structured Experience Capture, Validation, and Transfer Between Autonomous AI Agents</w:t>
      </w:r>
    </w:p>
    <w:p>
      <w:pPr>
        <w:spacing w:after="100"/>
      </w:pPr>
      <w:r>
        <w:rPr>
          <w:rFonts w:ascii="Times New Roman" w:cs="Times New Roman" w:eastAsia="Times New Roman" w:hAnsi="Times New Roman"/>
          <w:b/>
          <w:bCs/>
          <w:sz w:val="24"/>
          <w:szCs w:val="24"/>
        </w:rPr>
        <w:t xml:space="preserve">Inventor: </w:t>
      </w:r>
      <w:r>
        <w:rPr>
          <w:rFonts w:ascii="Times New Roman" w:cs="Times New Roman" w:eastAsia="Times New Roman" w:hAnsi="Times New Roman"/>
          <w:sz w:val="24"/>
          <w:szCs w:val="24"/>
        </w:rPr>
        <w:t xml:space="preserve">Richard Edwards</w:t>
      </w:r>
    </w:p>
    <w:p>
      <w:pPr>
        <w:spacing w:after="100"/>
      </w:pPr>
      <w:r>
        <w:rPr>
          <w:rFonts w:ascii="Times New Roman" w:cs="Times New Roman" w:eastAsia="Times New Roman" w:hAnsi="Times New Roman"/>
          <w:b/>
          <w:bCs/>
          <w:sz w:val="24"/>
          <w:szCs w:val="24"/>
        </w:rPr>
        <w:t xml:space="preserve">Filing Date: </w:t>
      </w:r>
      <w:r>
        <w:rPr>
          <w:rFonts w:ascii="Times New Roman" w:cs="Times New Roman" w:eastAsia="Times New Roman" w:hAnsi="Times New Roman"/>
          <w:sz w:val="24"/>
          <w:szCs w:val="24"/>
        </w:rPr>
        <w:t xml:space="preserve">[DATE OF FILING]</w:t>
      </w:r>
    </w:p>
    <w:p>
      <w:pPr>
        <w:pBdr>
          <w:bottom w:val="single" w:color="000000" w:sz="6" w:space="1"/>
        </w:pBdr>
        <w:spacing w:after="400"/>
      </w:pPr>
      <w:r>
        <w:rPr>
          <w:rFonts w:ascii="Times New Roman" w:cs="Times New Roman" w:eastAsia="Times New Roman" w:hAnsi="Times New Roman"/>
          <w:b/>
          <w:bCs/>
          <w:sz w:val="24"/>
          <w:szCs w:val="24"/>
        </w:rPr>
        <w:t xml:space="preserve">Entity Status: </w:t>
      </w:r>
      <w:r>
        <w:rPr>
          <w:rFonts w:ascii="Times New Roman" w:cs="Times New Roman" w:eastAsia="Times New Roman" w:hAnsi="Times New Roman"/>
          <w:sz w:val="24"/>
          <w:szCs w:val="24"/>
        </w:rPr>
        <w:t xml:space="preserve">Micro Entity</w:t>
      </w:r>
    </w:p>
    <w:p>
      <w:pPr>
        <w:pStyle w:val="Heading1"/>
        <w:spacing w:before="360" w:after="200"/>
      </w:pPr>
      <w:r>
        <w:rPr>
          <w:rFonts w:ascii="Times New Roman" w:cs="Times New Roman" w:eastAsia="Times New Roman" w:hAnsi="Times New Roman"/>
          <w:b/>
          <w:bCs/>
          <w:sz w:val="28"/>
          <w:szCs w:val="28"/>
        </w:rPr>
        <w:t xml:space="preserve">FIELD OF THE INVENTION</w:t>
      </w:r>
    </w:p>
    <w:p>
      <w:pPr>
        <w:spacing w:after="200" w:line="276"/>
        <w:ind w:left="0"/>
      </w:pPr>
      <w:r>
        <w:rPr>
          <w:rFonts w:ascii="Times New Roman" w:cs="Times New Roman" w:eastAsia="Times New Roman" w:hAnsi="Times New Roman"/>
          <w:b/>
          <w:bCs/>
          <w:sz w:val="24"/>
          <w:szCs w:val="24"/>
        </w:rPr>
        <w:t xml:space="preserve">[0001] </w:t>
      </w:r>
      <w:r>
        <w:rPr>
          <w:rFonts w:ascii="Times New Roman" w:cs="Times New Roman" w:eastAsia="Times New Roman" w:hAnsi="Times New Roman"/>
          <w:sz w:val="24"/>
          <w:szCs w:val="24"/>
        </w:rPr>
        <w:t xml:space="preserve">The present invention relates to artificial intelligence agent systems, and more particularly to a system and method for capturing, validating, storing, and transferring structured execution experience between autonomous AI agents to enable compound intelligence across agent networks.</w:t>
      </w:r>
    </w:p>
    <w:p>
      <w:pPr>
        <w:pStyle w:val="Heading1"/>
        <w:spacing w:before="360" w:after="200"/>
      </w:pPr>
      <w:r>
        <w:rPr>
          <w:rFonts w:ascii="Times New Roman" w:cs="Times New Roman" w:eastAsia="Times New Roman" w:hAnsi="Times New Roman"/>
          <w:b/>
          <w:bCs/>
          <w:sz w:val="28"/>
          <w:szCs w:val="28"/>
        </w:rPr>
        <w:t xml:space="preserve">BACKGROUND OF THE INVENTION</w:t>
      </w:r>
    </w:p>
    <w:p>
      <w:pPr>
        <w:spacing w:after="200" w:line="276"/>
        <w:ind w:left="0"/>
      </w:pPr>
      <w:r>
        <w:rPr>
          <w:rFonts w:ascii="Times New Roman" w:cs="Times New Roman" w:eastAsia="Times New Roman" w:hAnsi="Times New Roman"/>
          <w:b/>
          <w:bCs/>
          <w:sz w:val="24"/>
          <w:szCs w:val="24"/>
        </w:rPr>
        <w:t xml:space="preserve">[0002] </w:t>
      </w:r>
      <w:r>
        <w:rPr>
          <w:rFonts w:ascii="Times New Roman" w:cs="Times New Roman" w:eastAsia="Times New Roman" w:hAnsi="Times New Roman"/>
          <w:sz w:val="24"/>
          <w:szCs w:val="24"/>
        </w:rPr>
        <w:t xml:space="preserve">Artificial intelligence agents are increasingly deployed to execute complex tasks autonomously, including code generation, data analysis, customer service, workflow automation, and multi-step reasoning tasks. These agents operate across diverse frameworks including but not limited to LangChain, AutoGen, CrewAI, and custom implementations built on large language models (LLMs).</w:t>
      </w:r>
    </w:p>
    <w:p>
      <w:pPr>
        <w:spacing w:after="200" w:line="276"/>
        <w:ind w:left="0"/>
      </w:pPr>
      <w:r>
        <w:rPr>
          <w:rFonts w:ascii="Times New Roman" w:cs="Times New Roman" w:eastAsia="Times New Roman" w:hAnsi="Times New Roman"/>
          <w:b/>
          <w:bCs/>
          <w:sz w:val="24"/>
          <w:szCs w:val="24"/>
        </w:rPr>
        <w:t xml:space="preserve">[0003] </w:t>
      </w:r>
      <w:r>
        <w:rPr>
          <w:rFonts w:ascii="Times New Roman" w:cs="Times New Roman" w:eastAsia="Times New Roman" w:hAnsi="Times New Roman"/>
          <w:sz w:val="24"/>
          <w:szCs w:val="24"/>
        </w:rPr>
        <w:t xml:space="preserve">Current AI agent architectures suffer from a fundamental limitation: execution experience is transient. When an agent completes a task—whether successfully or unsuccessfully—the experiential knowledge gained during that execution is lost. Each subsequent task execution begins from a zero-knowledge state with respect to prior executions.</w:t>
      </w:r>
    </w:p>
    <w:p>
      <w:pPr>
        <w:spacing w:after="200" w:line="276"/>
        <w:ind w:left="0"/>
      </w:pPr>
      <w:r>
        <w:rPr>
          <w:rFonts w:ascii="Times New Roman" w:cs="Times New Roman" w:eastAsia="Times New Roman" w:hAnsi="Times New Roman"/>
          <w:b/>
          <w:bCs/>
          <w:sz w:val="24"/>
          <w:szCs w:val="24"/>
        </w:rPr>
        <w:t xml:space="preserve">[0004] </w:t>
      </w:r>
      <w:r>
        <w:rPr>
          <w:rFonts w:ascii="Times New Roman" w:cs="Times New Roman" w:eastAsia="Times New Roman" w:hAnsi="Times New Roman"/>
          <w:sz w:val="24"/>
          <w:szCs w:val="24"/>
        </w:rPr>
        <w:t xml:space="preserve">Existing approaches to agent memory and learning fall into three categories, each with significant limitations:</w:t>
      </w:r>
    </w:p>
    <w:p>
      <w:pPr>
        <w:spacing w:after="200" w:line="276"/>
        <w:ind w:left="0"/>
      </w:pPr>
      <w:r>
        <w:rPr>
          <w:rFonts w:ascii="Times New Roman" w:cs="Times New Roman" w:eastAsia="Times New Roman" w:hAnsi="Times New Roman"/>
          <w:b/>
          <w:bCs/>
          <w:sz w:val="24"/>
          <w:szCs w:val="24"/>
        </w:rPr>
        <w:t xml:space="preserve">[0005] </w:t>
      </w:r>
      <w:r>
        <w:rPr>
          <w:rFonts w:ascii="Times New Roman" w:cs="Times New Roman" w:eastAsia="Times New Roman" w:hAnsi="Times New Roman"/>
          <w:b/>
          <w:bCs/>
          <w:sz w:val="24"/>
          <w:szCs w:val="24"/>
        </w:rPr>
        <w:t xml:space="preserve">Stateless Execution: </w:t>
      </w:r>
      <w:r>
        <w:rPr>
          <w:rFonts w:ascii="Times New Roman" w:cs="Times New Roman" w:eastAsia="Times New Roman" w:hAnsi="Times New Roman"/>
          <w:sz w:val="24"/>
          <w:szCs w:val="24"/>
        </w:rPr>
        <w:t xml:space="preserve">The majority of current agent systems maintain no persistent state between task executions. Each invocation is independent, resulting in repeated errors, redundant exploration of solution spaces, and inability to benefit from prior successes or failures.</w:t>
      </w:r>
    </w:p>
    <w:p>
      <w:pPr>
        <w:spacing w:after="200" w:line="276"/>
        <w:ind w:left="0"/>
      </w:pPr>
      <w:r>
        <w:rPr>
          <w:rFonts w:ascii="Times New Roman" w:cs="Times New Roman" w:eastAsia="Times New Roman" w:hAnsi="Times New Roman"/>
          <w:b/>
          <w:bCs/>
          <w:sz w:val="24"/>
          <w:szCs w:val="24"/>
        </w:rPr>
        <w:t xml:space="preserve">[0006] </w:t>
      </w:r>
      <w:r>
        <w:rPr>
          <w:rFonts w:ascii="Times New Roman" w:cs="Times New Roman" w:eastAsia="Times New Roman" w:hAnsi="Times New Roman"/>
          <w:b/>
          <w:bCs/>
          <w:sz w:val="24"/>
          <w:szCs w:val="24"/>
        </w:rPr>
        <w:t xml:space="preserve">Individual Agent Memory: </w:t>
      </w:r>
      <w:r>
        <w:rPr>
          <w:rFonts w:ascii="Times New Roman" w:cs="Times New Roman" w:eastAsia="Times New Roman" w:hAnsi="Times New Roman"/>
          <w:sz w:val="24"/>
          <w:szCs w:val="24"/>
        </w:rPr>
        <w:t xml:space="preserve">Some systems implement per-agent memory stores that allow a single agent to recall its own prior interactions. These systems are limited to one agent’s perspective, create data silos, do not benefit other agents in the network, and lack governance controls for accuracy and trust.</w:t>
      </w:r>
    </w:p>
    <w:p>
      <w:pPr>
        <w:spacing w:after="200" w:line="276"/>
        <w:ind w:left="0"/>
      </w:pPr>
      <w:r>
        <w:rPr>
          <w:rFonts w:ascii="Times New Roman" w:cs="Times New Roman" w:eastAsia="Times New Roman" w:hAnsi="Times New Roman"/>
          <w:b/>
          <w:bCs/>
          <w:sz w:val="24"/>
          <w:szCs w:val="24"/>
        </w:rPr>
        <w:t xml:space="preserve">[0007] </w:t>
      </w:r>
      <w:r>
        <w:rPr>
          <w:rFonts w:ascii="Times New Roman" w:cs="Times New Roman" w:eastAsia="Times New Roman" w:hAnsi="Times New Roman"/>
          <w:b/>
          <w:bCs/>
          <w:sz w:val="24"/>
          <w:szCs w:val="24"/>
        </w:rPr>
        <w:t xml:space="preserve">Model Fine-tuning: </w:t>
      </w:r>
      <w:r>
        <w:rPr>
          <w:rFonts w:ascii="Times New Roman" w:cs="Times New Roman" w:eastAsia="Times New Roman" w:hAnsi="Times New Roman"/>
          <w:sz w:val="24"/>
          <w:szCs w:val="24"/>
        </w:rPr>
        <w:t xml:space="preserve">Knowledge can be incorporated into an agent’s underlying language model through fine-tuning or reinforcement learning. This approach is computationally expensive, slow to implement, opaque in its effects, difficult to audit, and cannot be selectively applied or reverted.</w:t>
      </w:r>
    </w:p>
    <w:p>
      <w:pPr>
        <w:spacing w:after="200" w:line="276"/>
        <w:ind w:left="0"/>
      </w:pPr>
      <w:r>
        <w:rPr>
          <w:rFonts w:ascii="Times New Roman" w:cs="Times New Roman" w:eastAsia="Times New Roman" w:hAnsi="Times New Roman"/>
          <w:b/>
          <w:bCs/>
          <w:sz w:val="24"/>
          <w:szCs w:val="24"/>
        </w:rPr>
        <w:t xml:space="preserve">[0008] </w:t>
      </w:r>
      <w:r>
        <w:rPr>
          <w:rFonts w:ascii="Times New Roman" w:cs="Times New Roman" w:eastAsia="Times New Roman" w:hAnsi="Times New Roman"/>
          <w:sz w:val="24"/>
          <w:szCs w:val="24"/>
        </w:rPr>
        <w:t xml:space="preserve">None of these approaches provide a mechanism for structured, validated, cross-agent experiential knowledge transfer with governance controls. The absence of such a mechanism represents the primary barrier to compound intelligence in multi-agent systems.</w:t>
      </w:r>
    </w:p>
    <w:p>
      <w:pPr>
        <w:spacing w:after="200" w:line="276"/>
        <w:ind w:left="0"/>
      </w:pPr>
      <w:r>
        <w:rPr>
          <w:rFonts w:ascii="Times New Roman" w:cs="Times New Roman" w:eastAsia="Times New Roman" w:hAnsi="Times New Roman"/>
          <w:b/>
          <w:bCs/>
          <w:sz w:val="24"/>
          <w:szCs w:val="24"/>
        </w:rPr>
        <w:t xml:space="preserve">[0009] </w:t>
      </w:r>
      <w:r>
        <w:rPr>
          <w:rFonts w:ascii="Times New Roman" w:cs="Times New Roman" w:eastAsia="Times New Roman" w:hAnsi="Times New Roman"/>
          <w:sz w:val="24"/>
          <w:szCs w:val="24"/>
        </w:rPr>
        <w:t xml:space="preserve">Furthermore, existing agent communication protocols—including the Model Context Protocol (MCP), Agent-to-Agent Protocol (A2A), and Agent Communication Protocol (ACP)—address tool connectivity, task delegation, and message structure respectively, but none address the capture, validation, or transfer of execution experience between agents.</w:t>
      </w:r>
    </w:p>
    <w:p>
      <w:pPr>
        <w:pStyle w:val="Heading1"/>
        <w:spacing w:before="360" w:after="200"/>
      </w:pPr>
      <w:r>
        <w:rPr>
          <w:rFonts w:ascii="Times New Roman" w:cs="Times New Roman" w:eastAsia="Times New Roman" w:hAnsi="Times New Roman"/>
          <w:b/>
          <w:bCs/>
          <w:sz w:val="28"/>
          <w:szCs w:val="28"/>
        </w:rPr>
        <w:t xml:space="preserve">SUMMARY OF THE INVENTION</w:t>
      </w:r>
    </w:p>
    <w:p>
      <w:pPr>
        <w:spacing w:after="200" w:line="276"/>
        <w:ind w:left="0"/>
      </w:pPr>
      <w:r>
        <w:rPr>
          <w:rFonts w:ascii="Times New Roman" w:cs="Times New Roman" w:eastAsia="Times New Roman" w:hAnsi="Times New Roman"/>
          <w:b/>
          <w:bCs/>
          <w:sz w:val="24"/>
          <w:szCs w:val="24"/>
        </w:rPr>
        <w:t xml:space="preserve">[0010] </w:t>
      </w:r>
      <w:r>
        <w:rPr>
          <w:rFonts w:ascii="Times New Roman" w:cs="Times New Roman" w:eastAsia="Times New Roman" w:hAnsi="Times New Roman"/>
          <w:sz w:val="24"/>
          <w:szCs w:val="24"/>
        </w:rPr>
        <w:t xml:space="preserve">The present invention provides a system and method for structured experience exchange between AI agents, referred to as the Agent Experience Transfer Protocol (AXTP). AXTP introduces a protocol layer that enables agents to:</w:t>
      </w:r>
    </w:p>
    <w:p>
      <w:pPr>
        <w:spacing w:after="200" w:line="276"/>
        <w:ind w:left="0"/>
      </w:pPr>
      <w:r>
        <w:rPr>
          <w:rFonts w:ascii="Times New Roman" w:cs="Times New Roman" w:eastAsia="Times New Roman" w:hAnsi="Times New Roman"/>
          <w:b/>
          <w:bCs/>
          <w:sz w:val="24"/>
          <w:szCs w:val="24"/>
        </w:rPr>
        <w:t xml:space="preserve">[0011] </w:t>
      </w:r>
      <w:r>
        <w:rPr>
          <w:rFonts w:ascii="Times New Roman" w:cs="Times New Roman" w:eastAsia="Times New Roman" w:hAnsi="Times New Roman"/>
          <w:sz w:val="24"/>
          <w:szCs w:val="24"/>
        </w:rPr>
        <w:t xml:space="preserve">(a) Capture structured representations of task execution experience, including steps taken, decisions made, tools used, outcomes achieved, errors encountered, recovery methods applied, and transferable learnings derived from the execution;</w:t>
      </w:r>
    </w:p>
    <w:p>
      <w:pPr>
        <w:spacing w:after="200" w:line="276"/>
        <w:ind w:left="0"/>
      </w:pPr>
      <w:r>
        <w:rPr>
          <w:rFonts w:ascii="Times New Roman" w:cs="Times New Roman" w:eastAsia="Times New Roman" w:hAnsi="Times New Roman"/>
          <w:b/>
          <w:bCs/>
          <w:sz w:val="24"/>
          <w:szCs w:val="24"/>
        </w:rPr>
        <w:t xml:space="preserve">[0012] </w:t>
      </w:r>
      <w:r>
        <w:rPr>
          <w:rFonts w:ascii="Times New Roman" w:cs="Times New Roman" w:eastAsia="Times New Roman" w:hAnsi="Times New Roman"/>
          <w:sz w:val="24"/>
          <w:szCs w:val="24"/>
        </w:rPr>
        <w:t xml:space="preserve">(b) Deposit these structured experience representations into managed shared repositories with defined scope, access controls, and governance policies;</w:t>
      </w:r>
    </w:p>
    <w:p>
      <w:pPr>
        <w:spacing w:after="200" w:line="276"/>
        <w:ind w:left="0"/>
      </w:pPr>
      <w:r>
        <w:rPr>
          <w:rFonts w:ascii="Times New Roman" w:cs="Times New Roman" w:eastAsia="Times New Roman" w:hAnsi="Times New Roman"/>
          <w:b/>
          <w:bCs/>
          <w:sz w:val="24"/>
          <w:szCs w:val="24"/>
        </w:rPr>
        <w:t xml:space="preserve">[0013] </w:t>
      </w:r>
      <w:r>
        <w:rPr>
          <w:rFonts w:ascii="Times New Roman" w:cs="Times New Roman" w:eastAsia="Times New Roman" w:hAnsi="Times New Roman"/>
          <w:sz w:val="24"/>
          <w:szCs w:val="24"/>
        </w:rPr>
        <w:t xml:space="preserve">(c) Retrieve relevant prior experience from these repositories before initiating task execution, using relevance scoring based on task type similarity, contextual similarity, trust scores, and temporal weighting;</w:t>
      </w:r>
    </w:p>
    <w:p>
      <w:pPr>
        <w:spacing w:after="200" w:line="276"/>
        <w:ind w:left="0"/>
      </w:pPr>
      <w:r>
        <w:rPr>
          <w:rFonts w:ascii="Times New Roman" w:cs="Times New Roman" w:eastAsia="Times New Roman" w:hAnsi="Times New Roman"/>
          <w:b/>
          <w:bCs/>
          <w:sz w:val="24"/>
          <w:szCs w:val="24"/>
        </w:rPr>
        <w:t xml:space="preserve">[0014] </w:t>
      </w:r>
      <w:r>
        <w:rPr>
          <w:rFonts w:ascii="Times New Roman" w:cs="Times New Roman" w:eastAsia="Times New Roman" w:hAnsi="Times New Roman"/>
          <w:sz w:val="24"/>
          <w:szCs w:val="24"/>
        </w:rPr>
        <w:t xml:space="preserve">(d) Validate deposited experience through automated and peer-based mechanisms that detect inaccuracies, conflicts, and adversarial manipulation; and</w:t>
      </w:r>
    </w:p>
    <w:p>
      <w:pPr>
        <w:spacing w:after="200" w:line="276"/>
        <w:ind w:left="0"/>
      </w:pPr>
      <w:r>
        <w:rPr>
          <w:rFonts w:ascii="Times New Roman" w:cs="Times New Roman" w:eastAsia="Times New Roman" w:hAnsi="Times New Roman"/>
          <w:b/>
          <w:bCs/>
          <w:sz w:val="24"/>
          <w:szCs w:val="24"/>
        </w:rPr>
        <w:t xml:space="preserve">[0015] </w:t>
      </w:r>
      <w:r>
        <w:rPr>
          <w:rFonts w:ascii="Times New Roman" w:cs="Times New Roman" w:eastAsia="Times New Roman" w:hAnsi="Times New Roman"/>
          <w:sz w:val="24"/>
          <w:szCs w:val="24"/>
        </w:rPr>
        <w:t xml:space="preserve">(e) Maintain auditable trust scores on all experience records that evolve based on source reputation, validation signals, downstream outcome correlation, and temporal decay.</w:t>
      </w:r>
    </w:p>
    <w:p>
      <w:pPr>
        <w:pStyle w:val="Heading1"/>
        <w:spacing w:before="360" w:after="200"/>
      </w:pPr>
      <w:r>
        <w:rPr>
          <w:rFonts w:ascii="Times New Roman" w:cs="Times New Roman" w:eastAsia="Times New Roman" w:hAnsi="Times New Roman"/>
          <w:b/>
          <w:bCs/>
          <w:sz w:val="28"/>
          <w:szCs w:val="28"/>
        </w:rPr>
        <w:t xml:space="preserve">DETAILED DESCRIPTION OF THE INVENTION</w:t>
      </w:r>
    </w:p>
    <w:p>
      <w:pPr>
        <w:pStyle w:val="Heading2"/>
        <w:spacing w:before="360" w:after="200"/>
      </w:pPr>
      <w:r>
        <w:rPr>
          <w:rFonts w:ascii="Times New Roman" w:cs="Times New Roman" w:eastAsia="Times New Roman" w:hAnsi="Times New Roman"/>
          <w:b/>
          <w:bCs/>
          <w:sz w:val="26"/>
          <w:szCs w:val="26"/>
        </w:rPr>
        <w:t xml:space="preserve">1. Experience Record (XR) Data Structure</w:t>
      </w:r>
    </w:p>
    <w:p>
      <w:pPr>
        <w:spacing w:after="200" w:line="276"/>
        <w:ind w:left="0"/>
      </w:pPr>
      <w:r>
        <w:rPr>
          <w:rFonts w:ascii="Times New Roman" w:cs="Times New Roman" w:eastAsia="Times New Roman" w:hAnsi="Times New Roman"/>
          <w:b/>
          <w:bCs/>
          <w:sz w:val="24"/>
          <w:szCs w:val="24"/>
        </w:rPr>
        <w:t xml:space="preserve">[0016] </w:t>
      </w:r>
      <w:r>
        <w:rPr>
          <w:rFonts w:ascii="Times New Roman" w:cs="Times New Roman" w:eastAsia="Times New Roman" w:hAnsi="Times New Roman"/>
          <w:sz w:val="24"/>
          <w:szCs w:val="24"/>
        </w:rPr>
        <w:t xml:space="preserve">The fundamental unit of the invention is the Experience Record (XR). An XR is a structured data artifact produced by an agent after task execution. Unlike raw execution logs or conversational memory, an XR is specifically designed for cross-agent knowledge transfer and includes the following components:</w:t>
      </w:r>
    </w:p>
    <w:p>
      <w:pPr>
        <w:spacing w:after="200" w:line="276"/>
        <w:ind w:left="0"/>
      </w:pPr>
      <w:r>
        <w:rPr>
          <w:rFonts w:ascii="Times New Roman" w:cs="Times New Roman" w:eastAsia="Times New Roman" w:hAnsi="Times New Roman"/>
          <w:b/>
          <w:bCs/>
          <w:sz w:val="24"/>
          <w:szCs w:val="24"/>
        </w:rPr>
        <w:t xml:space="preserve">[0017] </w:t>
      </w:r>
      <w:r>
        <w:rPr>
          <w:rFonts w:ascii="Times New Roman" w:cs="Times New Roman" w:eastAsia="Times New Roman" w:hAnsi="Times New Roman"/>
          <w:b/>
          <w:bCs/>
          <w:sz w:val="24"/>
          <w:szCs w:val="24"/>
        </w:rPr>
        <w:t xml:space="preserve">Context Object: </w:t>
      </w:r>
      <w:r>
        <w:rPr>
          <w:rFonts w:ascii="Times New Roman" w:cs="Times New Roman" w:eastAsia="Times New Roman" w:hAnsi="Times New Roman"/>
          <w:sz w:val="24"/>
          <w:szCs w:val="24"/>
        </w:rPr>
        <w:t xml:space="preserve">Captures the task objective, execution environment (including agent framework, underlying model, available tools, and constraints), the trigger that initiated the task, and optional references to parent tasks in hierarchical execution chains.</w:t>
      </w:r>
    </w:p>
    <w:p>
      <w:pPr>
        <w:spacing w:after="200" w:line="276"/>
        <w:ind w:left="0"/>
      </w:pPr>
      <w:r>
        <w:rPr>
          <w:rFonts w:ascii="Times New Roman" w:cs="Times New Roman" w:eastAsia="Times New Roman" w:hAnsi="Times New Roman"/>
          <w:b/>
          <w:bCs/>
          <w:sz w:val="24"/>
          <w:szCs w:val="24"/>
        </w:rPr>
        <w:t xml:space="preserve">[0018] </w:t>
      </w:r>
      <w:r>
        <w:rPr>
          <w:rFonts w:ascii="Times New Roman" w:cs="Times New Roman" w:eastAsia="Times New Roman" w:hAnsi="Times New Roman"/>
          <w:b/>
          <w:bCs/>
          <w:sz w:val="24"/>
          <w:szCs w:val="24"/>
        </w:rPr>
        <w:t xml:space="preserve">Execution Trace: </w:t>
      </w:r>
      <w:r>
        <w:rPr>
          <w:rFonts w:ascii="Times New Roman" w:cs="Times New Roman" w:eastAsia="Times New Roman" w:hAnsi="Times New Roman"/>
          <w:sz w:val="24"/>
          <w:szCs w:val="24"/>
        </w:rPr>
        <w:t xml:space="preserve">Records the sequence of steps taken by the agent, including for each step: the action performed, the reasoning behind the action, tools used, summarized inputs and outputs (never raw data, to preserve privacy), duration, and success/failure status. The trace also records pivots—instances where the agent changed its approach—with explicit documentation of the reason for the change.</w:t>
      </w:r>
    </w:p>
    <w:p>
      <w:pPr>
        <w:spacing w:after="200" w:line="276"/>
        <w:ind w:left="0"/>
      </w:pPr>
      <w:r>
        <w:rPr>
          <w:rFonts w:ascii="Times New Roman" w:cs="Times New Roman" w:eastAsia="Times New Roman" w:hAnsi="Times New Roman"/>
          <w:b/>
          <w:bCs/>
          <w:sz w:val="24"/>
          <w:szCs w:val="24"/>
        </w:rPr>
        <w:t xml:space="preserve">[0019] </w:t>
      </w:r>
      <w:r>
        <w:rPr>
          <w:rFonts w:ascii="Times New Roman" w:cs="Times New Roman" w:eastAsia="Times New Roman" w:hAnsi="Times New Roman"/>
          <w:b/>
          <w:bCs/>
          <w:sz w:val="24"/>
          <w:szCs w:val="24"/>
        </w:rPr>
        <w:t xml:space="preserve">Outcome Object: </w:t>
      </w:r>
      <w:r>
        <w:rPr>
          <w:rFonts w:ascii="Times New Roman" w:cs="Times New Roman" w:eastAsia="Times New Roman" w:hAnsi="Times New Roman"/>
          <w:sz w:val="24"/>
          <w:szCs w:val="24"/>
        </w:rPr>
        <w:t xml:space="preserve">Records the final status of the task (success, partial success, failure, or aborted), a summary of what was achieved, detailed error information when applicable (including whether recovery was attempted and whether it succeeded), and a self-assessed quality score.</w:t>
      </w:r>
    </w:p>
    <w:p>
      <w:pPr>
        <w:spacing w:after="200" w:line="276"/>
        <w:ind w:left="0"/>
      </w:pPr>
      <w:r>
        <w:rPr>
          <w:rFonts w:ascii="Times New Roman" w:cs="Times New Roman" w:eastAsia="Times New Roman" w:hAnsi="Times New Roman"/>
          <w:b/>
          <w:bCs/>
          <w:sz w:val="24"/>
          <w:szCs w:val="24"/>
        </w:rPr>
        <w:t xml:space="preserve">[0020] </w:t>
      </w:r>
      <w:r>
        <w:rPr>
          <w:rFonts w:ascii="Times New Roman" w:cs="Times New Roman" w:eastAsia="Times New Roman" w:hAnsi="Times New Roman"/>
          <w:b/>
          <w:bCs/>
          <w:sz w:val="24"/>
          <w:szCs w:val="24"/>
        </w:rPr>
        <w:t xml:space="preserve">Learnings Object: </w:t>
      </w:r>
      <w:r>
        <w:rPr>
          <w:rFonts w:ascii="Times New Roman" w:cs="Times New Roman" w:eastAsia="Times New Roman" w:hAnsi="Times New Roman"/>
          <w:sz w:val="24"/>
          <w:szCs w:val="24"/>
        </w:rPr>
        <w:t xml:space="preserve">This is the highest-value component for cross-agent transfer. It includes: effective patterns (strategies that worked, with applicability conditions and confidence scores), antipatterns (strategies that failed, with trigger conditions that might cause future agents to attempt them and recommended alternatives), environmental notes (context-specific observations that may not be documented elsewhere), and general recommendations for future agents attempting similar tasks.</w:t>
      </w:r>
    </w:p>
    <w:p>
      <w:pPr>
        <w:spacing w:after="200" w:line="276"/>
        <w:ind w:left="0"/>
      </w:pPr>
      <w:r>
        <w:rPr>
          <w:rFonts w:ascii="Times New Roman" w:cs="Times New Roman" w:eastAsia="Times New Roman" w:hAnsi="Times New Roman"/>
          <w:b/>
          <w:bCs/>
          <w:sz w:val="24"/>
          <w:szCs w:val="24"/>
        </w:rPr>
        <w:t xml:space="preserve">[0021] </w:t>
      </w:r>
      <w:r>
        <w:rPr>
          <w:rFonts w:ascii="Times New Roman" w:cs="Times New Roman" w:eastAsia="Times New Roman" w:hAnsi="Times New Roman"/>
          <w:b/>
          <w:bCs/>
          <w:sz w:val="24"/>
          <w:szCs w:val="24"/>
        </w:rPr>
        <w:t xml:space="preserve">Trust Metadata: </w:t>
      </w:r>
      <w:r>
        <w:rPr>
          <w:rFonts w:ascii="Times New Roman" w:cs="Times New Roman" w:eastAsia="Times New Roman" w:hAnsi="Times New Roman"/>
          <w:sz w:val="24"/>
          <w:szCs w:val="24"/>
        </w:rPr>
        <w:t xml:space="preserve">Each XR carries a composite trust score, validation status, and references to validators who have confirmed or disputed the record’s accuracy.</w:t>
      </w:r>
    </w:p>
    <w:p>
      <w:pPr>
        <w:pStyle w:val="Heading2"/>
        <w:spacing w:before="360" w:after="200"/>
      </w:pPr>
      <w:r>
        <w:rPr>
          <w:rFonts w:ascii="Times New Roman" w:cs="Times New Roman" w:eastAsia="Times New Roman" w:hAnsi="Times New Roman"/>
          <w:b/>
          <w:bCs/>
          <w:sz w:val="26"/>
          <w:szCs w:val="26"/>
        </w:rPr>
        <w:t xml:space="preserve">2. Experience Pool Architecture</w:t>
      </w:r>
    </w:p>
    <w:p>
      <w:pPr>
        <w:spacing w:after="200" w:line="276"/>
        <w:ind w:left="0"/>
      </w:pPr>
      <w:r>
        <w:rPr>
          <w:rFonts w:ascii="Times New Roman" w:cs="Times New Roman" w:eastAsia="Times New Roman" w:hAnsi="Times New Roman"/>
          <w:b/>
          <w:bCs/>
          <w:sz w:val="24"/>
          <w:szCs w:val="24"/>
        </w:rPr>
        <w:t xml:space="preserve">[0022] </w:t>
      </w:r>
      <w:r>
        <w:rPr>
          <w:rFonts w:ascii="Times New Roman" w:cs="Times New Roman" w:eastAsia="Times New Roman" w:hAnsi="Times New Roman"/>
          <w:sz w:val="24"/>
          <w:szCs w:val="24"/>
        </w:rPr>
        <w:t xml:space="preserve">Experience Records are deposited into managed repositories called Experience Pools. Each pool defines:</w:t>
      </w:r>
    </w:p>
    <w:p>
      <w:pPr>
        <w:spacing w:after="200" w:line="276"/>
        <w:ind w:left="0"/>
      </w:pPr>
      <w:r>
        <w:rPr>
          <w:rFonts w:ascii="Times New Roman" w:cs="Times New Roman" w:eastAsia="Times New Roman" w:hAnsi="Times New Roman"/>
          <w:b/>
          <w:bCs/>
          <w:sz w:val="24"/>
          <w:szCs w:val="24"/>
        </w:rPr>
        <w:t xml:space="preserve">[0023] </w:t>
      </w:r>
      <w:r>
        <w:rPr>
          <w:rFonts w:ascii="Times New Roman" w:cs="Times New Roman" w:eastAsia="Times New Roman" w:hAnsi="Times New Roman"/>
          <w:b/>
          <w:bCs/>
          <w:sz w:val="24"/>
          <w:szCs w:val="24"/>
        </w:rPr>
        <w:t xml:space="preserve">Scope: </w:t>
      </w:r>
      <w:r>
        <w:rPr>
          <w:rFonts w:ascii="Times New Roman" w:cs="Times New Roman" w:eastAsia="Times New Roman" w:hAnsi="Times New Roman"/>
          <w:sz w:val="24"/>
          <w:szCs w:val="24"/>
        </w:rPr>
        <w:t xml:space="preserve">Pools may be global (accessible to all agents), organizational (restricted to agents within a defined organization), team-scoped, or task-type-specific. Scope determines the breadth of experience sharing and the applicable governance policies.</w:t>
      </w:r>
    </w:p>
    <w:p>
      <w:pPr>
        <w:spacing w:after="200" w:line="276"/>
        <w:ind w:left="0"/>
      </w:pPr>
      <w:r>
        <w:rPr>
          <w:rFonts w:ascii="Times New Roman" w:cs="Times New Roman" w:eastAsia="Times New Roman" w:hAnsi="Times New Roman"/>
          <w:b/>
          <w:bCs/>
          <w:sz w:val="24"/>
          <w:szCs w:val="24"/>
        </w:rPr>
        <w:t xml:space="preserve">[0024] </w:t>
      </w:r>
      <w:r>
        <w:rPr>
          <w:rFonts w:ascii="Times New Roman" w:cs="Times New Roman" w:eastAsia="Times New Roman" w:hAnsi="Times New Roman"/>
          <w:b/>
          <w:bCs/>
          <w:sz w:val="24"/>
          <w:szCs w:val="24"/>
        </w:rPr>
        <w:t xml:space="preserve">Access Policy: </w:t>
      </w:r>
      <w:r>
        <w:rPr>
          <w:rFonts w:ascii="Times New Roman" w:cs="Times New Roman" w:eastAsia="Times New Roman" w:hAnsi="Times New Roman"/>
          <w:sz w:val="24"/>
          <w:szCs w:val="24"/>
        </w:rPr>
        <w:t xml:space="preserve">Role-based access control determines which agents may deposit (write) experience, retrieve (read) experience, validate experience, and administer pool configuration.</w:t>
      </w:r>
    </w:p>
    <w:p>
      <w:pPr>
        <w:spacing w:after="200" w:line="276"/>
        <w:ind w:left="0"/>
      </w:pPr>
      <w:r>
        <w:rPr>
          <w:rFonts w:ascii="Times New Roman" w:cs="Times New Roman" w:eastAsia="Times New Roman" w:hAnsi="Times New Roman"/>
          <w:b/>
          <w:bCs/>
          <w:sz w:val="24"/>
          <w:szCs w:val="24"/>
        </w:rPr>
        <w:t xml:space="preserve">[0025] </w:t>
      </w:r>
      <w:r>
        <w:rPr>
          <w:rFonts w:ascii="Times New Roman" w:cs="Times New Roman" w:eastAsia="Times New Roman" w:hAnsi="Times New Roman"/>
          <w:b/>
          <w:bCs/>
          <w:sz w:val="24"/>
          <w:szCs w:val="24"/>
        </w:rPr>
        <w:t xml:space="preserve">Governance Configuration: </w:t>
      </w:r>
      <w:r>
        <w:rPr>
          <w:rFonts w:ascii="Times New Roman" w:cs="Times New Roman" w:eastAsia="Times New Roman" w:hAnsi="Times New Roman"/>
          <w:sz w:val="24"/>
          <w:szCs w:val="24"/>
        </w:rPr>
        <w:t xml:space="preserve">Each pool specifies whether validation is required before experience becomes retrievable, the minimum confidence threshold for retrieval, the conflict resolution strategy (latest-wins, consensus, or administrative review), and retention policies including maximum age, maximum record count, and archival strategy (compression, summarization, or deletion).</w:t>
      </w:r>
    </w:p>
    <w:p>
      <w:pPr>
        <w:pStyle w:val="Heading2"/>
        <w:spacing w:before="360" w:after="200"/>
      </w:pPr>
      <w:r>
        <w:rPr>
          <w:rFonts w:ascii="Times New Roman" w:cs="Times New Roman" w:eastAsia="Times New Roman" w:hAnsi="Times New Roman"/>
          <w:b/>
          <w:bCs/>
          <w:sz w:val="26"/>
          <w:szCs w:val="26"/>
        </w:rPr>
        <w:t xml:space="preserve">3. Protocol Operations</w:t>
      </w:r>
    </w:p>
    <w:p>
      <w:pPr>
        <w:spacing w:after="200" w:line="276"/>
        <w:ind w:left="0"/>
      </w:pPr>
      <w:r>
        <w:rPr>
          <w:rFonts w:ascii="Times New Roman" w:cs="Times New Roman" w:eastAsia="Times New Roman" w:hAnsi="Times New Roman"/>
          <w:b/>
          <w:bCs/>
          <w:sz w:val="24"/>
          <w:szCs w:val="24"/>
        </w:rPr>
        <w:t xml:space="preserve">[0026] </w:t>
      </w:r>
      <w:r>
        <w:rPr>
          <w:rFonts w:ascii="Times New Roman" w:cs="Times New Roman" w:eastAsia="Times New Roman" w:hAnsi="Times New Roman"/>
          <w:b/>
          <w:bCs/>
          <w:sz w:val="24"/>
          <w:szCs w:val="24"/>
        </w:rPr>
        <w:t xml:space="preserve">DEPOSIT Operation: </w:t>
      </w:r>
      <w:r>
        <w:rPr>
          <w:rFonts w:ascii="Times New Roman" w:cs="Times New Roman" w:eastAsia="Times New Roman" w:hAnsi="Times New Roman"/>
          <w:sz w:val="24"/>
          <w:szCs w:val="24"/>
        </w:rPr>
        <w:t xml:space="preserve">An agent submits an Experience Record to one or more Experience Pools. The operation validates the XR against the protocol schema, verifies agent authorization for the target pool, executes configured governance checks, assigns an initial trust score based on the source agent’s reputation, and returns a receipt confirming deposit status.</w:t>
      </w:r>
    </w:p>
    <w:p>
      <w:pPr>
        <w:spacing w:after="200" w:line="276"/>
        <w:ind w:left="0"/>
      </w:pPr>
      <w:r>
        <w:rPr>
          <w:rFonts w:ascii="Times New Roman" w:cs="Times New Roman" w:eastAsia="Times New Roman" w:hAnsi="Times New Roman"/>
          <w:b/>
          <w:bCs/>
          <w:sz w:val="24"/>
          <w:szCs w:val="24"/>
        </w:rPr>
        <w:t xml:space="preserve">[0027] </w:t>
      </w:r>
      <w:r>
        <w:rPr>
          <w:rFonts w:ascii="Times New Roman" w:cs="Times New Roman" w:eastAsia="Times New Roman" w:hAnsi="Times New Roman"/>
          <w:b/>
          <w:bCs/>
          <w:sz w:val="24"/>
          <w:szCs w:val="24"/>
        </w:rPr>
        <w:t xml:space="preserve">RETRIEVE Operation: </w:t>
      </w:r>
      <w:r>
        <w:rPr>
          <w:rFonts w:ascii="Times New Roman" w:cs="Times New Roman" w:eastAsia="Times New Roman" w:hAnsi="Times New Roman"/>
          <w:sz w:val="24"/>
          <w:szCs w:val="24"/>
        </w:rPr>
        <w:t xml:space="preserve">Before task execution, an agent queries an Experience Pool for relevant prior experience. The query specifies task type (supporting hierarchical matching), context similarity parameters, minimum confidence thresholds, result limits, recency weighting preferences, and optional outcome filters. The pool returns a ranked set of Experience Records ordered by a composite relevance score.</w:t>
      </w:r>
    </w:p>
    <w:p>
      <w:pPr>
        <w:spacing w:after="200" w:line="276"/>
        <w:ind w:left="0"/>
      </w:pPr>
      <w:r>
        <w:rPr>
          <w:rFonts w:ascii="Times New Roman" w:cs="Times New Roman" w:eastAsia="Times New Roman" w:hAnsi="Times New Roman"/>
          <w:b/>
          <w:bCs/>
          <w:sz w:val="24"/>
          <w:szCs w:val="24"/>
        </w:rPr>
        <w:t xml:space="preserve">[0028] </w:t>
      </w:r>
      <w:r>
        <w:rPr>
          <w:rFonts w:ascii="Times New Roman" w:cs="Times New Roman" w:eastAsia="Times New Roman" w:hAnsi="Times New Roman"/>
          <w:b/>
          <w:bCs/>
          <w:sz w:val="24"/>
          <w:szCs w:val="24"/>
        </w:rPr>
        <w:t xml:space="preserve">VALIDATE Operation: </w:t>
      </w:r>
      <w:r>
        <w:rPr>
          <w:rFonts w:ascii="Times New Roman" w:cs="Times New Roman" w:eastAsia="Times New Roman" w:hAnsi="Times New Roman"/>
          <w:sz w:val="24"/>
          <w:szCs w:val="24"/>
        </w:rPr>
        <w:t xml:space="preserve">Validators (agents or humans) can confirm, dispute, or amend existing Experience Records. Validation updates the XR’s trust metadata and contributes to the source agent’s reputation score. The validation mechanism prevents unchecked trust inflation through independence requirements and cluster detection.</w:t>
      </w:r>
    </w:p>
    <w:p>
      <w:pPr>
        <w:spacing w:after="200" w:line="276"/>
        <w:ind w:left="0"/>
      </w:pPr>
      <w:r>
        <w:rPr>
          <w:rFonts w:ascii="Times New Roman" w:cs="Times New Roman" w:eastAsia="Times New Roman" w:hAnsi="Times New Roman"/>
          <w:b/>
          <w:bCs/>
          <w:sz w:val="24"/>
          <w:szCs w:val="24"/>
        </w:rPr>
        <w:t xml:space="preserve">[0029] </w:t>
      </w:r>
      <w:r>
        <w:rPr>
          <w:rFonts w:ascii="Times New Roman" w:cs="Times New Roman" w:eastAsia="Times New Roman" w:hAnsi="Times New Roman"/>
          <w:b/>
          <w:bCs/>
          <w:sz w:val="24"/>
          <w:szCs w:val="24"/>
        </w:rPr>
        <w:t xml:space="preserve">INSPECT Operation: </w:t>
      </w:r>
      <w:r>
        <w:rPr>
          <w:rFonts w:ascii="Times New Roman" w:cs="Times New Roman" w:eastAsia="Times New Roman" w:hAnsi="Times New Roman"/>
          <w:sz w:val="24"/>
          <w:szCs w:val="24"/>
        </w:rPr>
        <w:t xml:space="preserve">Agents and administrators can query pool-level metadata including total records, contributing agent count, average confidence scores, and temporal distribution of experience.</w:t>
      </w:r>
    </w:p>
    <w:p>
      <w:pPr>
        <w:pStyle w:val="Heading2"/>
        <w:spacing w:before="360" w:after="200"/>
      </w:pPr>
      <w:r>
        <w:rPr>
          <w:rFonts w:ascii="Times New Roman" w:cs="Times New Roman" w:eastAsia="Times New Roman" w:hAnsi="Times New Roman"/>
          <w:b/>
          <w:bCs/>
          <w:sz w:val="26"/>
          <w:szCs w:val="26"/>
        </w:rPr>
        <w:t xml:space="preserve">4. Trust and Governance Framework</w:t>
      </w:r>
    </w:p>
    <w:p>
      <w:pPr>
        <w:spacing w:after="200" w:line="276"/>
        <w:ind w:left="0"/>
      </w:pPr>
      <w:r>
        <w:rPr>
          <w:rFonts w:ascii="Times New Roman" w:cs="Times New Roman" w:eastAsia="Times New Roman" w:hAnsi="Times New Roman"/>
          <w:b/>
          <w:bCs/>
          <w:sz w:val="24"/>
          <w:szCs w:val="24"/>
        </w:rPr>
        <w:t xml:space="preserve">[0030] </w:t>
      </w:r>
      <w:r>
        <w:rPr>
          <w:rFonts w:ascii="Times New Roman" w:cs="Times New Roman" w:eastAsia="Times New Roman" w:hAnsi="Times New Roman"/>
          <w:sz w:val="24"/>
          <w:szCs w:val="24"/>
        </w:rPr>
        <w:t xml:space="preserve">The governance framework is a core component of the invention, distinguishing AXTP from simple shared storage systems. The trust model computes composite scores from five weighted factors: source reputation (historical accuracy of the contributing agent), validation signals (confirmations and disputes from independent validators), outcome correlation (whether agents consuming the XR subsequently perform better), recency (with configurable temporal decay), and consistency (alignment with other XRs for similar tasks). Weights are configurable per pool based on organizational risk tolerance.</w:t>
      </w:r>
    </w:p>
    <w:p>
      <w:pPr>
        <w:spacing w:after="200" w:line="276"/>
        <w:ind w:left="0"/>
      </w:pPr>
      <w:r>
        <w:rPr>
          <w:rFonts w:ascii="Times New Roman" w:cs="Times New Roman" w:eastAsia="Times New Roman" w:hAnsi="Times New Roman"/>
          <w:b/>
          <w:bCs/>
          <w:sz w:val="24"/>
          <w:szCs w:val="24"/>
        </w:rPr>
        <w:t xml:space="preserve">[0031] </w:t>
      </w:r>
      <w:r>
        <w:rPr>
          <w:rFonts w:ascii="Times New Roman" w:cs="Times New Roman" w:eastAsia="Times New Roman" w:hAnsi="Times New Roman"/>
          <w:b/>
          <w:bCs/>
          <w:sz w:val="24"/>
          <w:szCs w:val="24"/>
        </w:rPr>
        <w:t xml:space="preserve">Poison Detection: </w:t>
      </w:r>
      <w:r>
        <w:rPr>
          <w:rFonts w:ascii="Times New Roman" w:cs="Times New Roman" w:eastAsia="Times New Roman" w:hAnsi="Times New Roman"/>
          <w:sz w:val="24"/>
          <w:szCs w:val="24"/>
        </w:rPr>
        <w:t xml:space="preserve">The system includes mechanisms to detect and mitigate three categories of adversarial manipulation: (a) deliberate poisoning, where malicious agents inject false experience to degrade others’ performance; (b) drift poisoning, where initially valid experience becomes incorrect as environments change; and (c) amplification attacks, where colluding agents validate each other’s records to inflate trust scores. Detection employs statistical outlier analysis, cross-validation against independent sources, anomaly detection on trust score trajectories, and graph analysis to identify validation clusters.</w:t>
      </w:r>
    </w:p>
    <w:p>
      <w:pPr>
        <w:spacing w:after="200" w:line="276"/>
        <w:ind w:left="0"/>
      </w:pPr>
      <w:r>
        <w:rPr>
          <w:rFonts w:ascii="Times New Roman" w:cs="Times New Roman" w:eastAsia="Times New Roman" w:hAnsi="Times New Roman"/>
          <w:b/>
          <w:bCs/>
          <w:sz w:val="24"/>
          <w:szCs w:val="24"/>
        </w:rPr>
        <w:t xml:space="preserve">[0032] </w:t>
      </w:r>
      <w:r>
        <w:rPr>
          <w:rFonts w:ascii="Times New Roman" w:cs="Times New Roman" w:eastAsia="Times New Roman" w:hAnsi="Times New Roman"/>
          <w:b/>
          <w:bCs/>
          <w:sz w:val="24"/>
          <w:szCs w:val="24"/>
        </w:rPr>
        <w:t xml:space="preserve">Audit Trail: </w:t>
      </w:r>
      <w:r>
        <w:rPr>
          <w:rFonts w:ascii="Times New Roman" w:cs="Times New Roman" w:eastAsia="Times New Roman" w:hAnsi="Times New Roman"/>
          <w:sz w:val="24"/>
          <w:szCs w:val="24"/>
        </w:rPr>
        <w:t xml:space="preserve">Every protocol operation (deposit, retrieve, validate, inspect) is logged in an append-only, tamper-evident audit trail recording the timestamp, actor identity, operation type, affected record identifiers, and outcome. This audit trail enables compliance with AI governance frameworks and supports forensic analysis of experience pool integrity.</w:t>
      </w:r>
    </w:p>
    <w:p>
      <w:pPr>
        <w:pStyle w:val="Heading2"/>
        <w:spacing w:before="360" w:after="200"/>
      </w:pPr>
      <w:r>
        <w:rPr>
          <w:rFonts w:ascii="Times New Roman" w:cs="Times New Roman" w:eastAsia="Times New Roman" w:hAnsi="Times New Roman"/>
          <w:b/>
          <w:bCs/>
          <w:sz w:val="26"/>
          <w:szCs w:val="26"/>
        </w:rPr>
        <w:t xml:space="preserve">5. Integration with Existing Agent Protocol Stack</w:t>
      </w:r>
    </w:p>
    <w:p>
      <w:pPr>
        <w:spacing w:after="200" w:line="276"/>
        <w:ind w:left="0"/>
      </w:pPr>
      <w:r>
        <w:rPr>
          <w:rFonts w:ascii="Times New Roman" w:cs="Times New Roman" w:eastAsia="Times New Roman" w:hAnsi="Times New Roman"/>
          <w:b/>
          <w:bCs/>
          <w:sz w:val="24"/>
          <w:szCs w:val="24"/>
        </w:rPr>
        <w:t xml:space="preserve">[0033] </w:t>
      </w:r>
      <w:r>
        <w:rPr>
          <w:rFonts w:ascii="Times New Roman" w:cs="Times New Roman" w:eastAsia="Times New Roman" w:hAnsi="Times New Roman"/>
          <w:sz w:val="24"/>
          <w:szCs w:val="24"/>
        </w:rPr>
        <w:t xml:space="preserve">AXTP is designed as a complementary layer in the emerging agent protocol stack, operating above existing protocols including the Model Context Protocol (MCP) for tool and context connectivity, the Agent-to-Agent Protocol (A2A) for task delegation, and the Agent Communication Protocol (ACP) for structured messaging. AXTP can consume events from these protocols to automatically generate Experience Records, and can inject retrieved experience into agents operating over these protocols. The protocol is transport-agnostic, supporting HTTP, gRPC, WebSocket, and other transport mechanisms.</w:t>
      </w:r>
    </w:p>
    <w:p>
      <w:pPr>
        <w:pStyle w:val="Heading2"/>
        <w:spacing w:before="360" w:after="200"/>
      </w:pPr>
      <w:r>
        <w:rPr>
          <w:rFonts w:ascii="Times New Roman" w:cs="Times New Roman" w:eastAsia="Times New Roman" w:hAnsi="Times New Roman"/>
          <w:b/>
          <w:bCs/>
          <w:sz w:val="26"/>
          <w:szCs w:val="26"/>
        </w:rPr>
        <w:t xml:space="preserve">6. Privacy and Security</w:t>
      </w:r>
    </w:p>
    <w:p>
      <w:pPr>
        <w:spacing w:after="200" w:line="276"/>
        <w:ind w:left="0"/>
      </w:pPr>
      <w:r>
        <w:rPr>
          <w:rFonts w:ascii="Times New Roman" w:cs="Times New Roman" w:eastAsia="Times New Roman" w:hAnsi="Times New Roman"/>
          <w:b/>
          <w:bCs/>
          <w:sz w:val="24"/>
          <w:szCs w:val="24"/>
        </w:rPr>
        <w:t xml:space="preserve">[0034] </w:t>
      </w:r>
      <w:r>
        <w:rPr>
          <w:rFonts w:ascii="Times New Roman" w:cs="Times New Roman" w:eastAsia="Times New Roman" w:hAnsi="Times New Roman"/>
          <w:sz w:val="24"/>
          <w:szCs w:val="24"/>
        </w:rPr>
        <w:t xml:space="preserve">The invention incorporates privacy-preserving design: Experience Records contain only summarized inputs and outputs, never raw data. Organizations may configure field-level redaction policies. All records are encrypted at rest and in transit. Access control, rate limiting, and audit logging prevent unauthorized data exfiltration. The system supports organizational pool isolation to prevent cross-boundary information leakage.</w:t>
      </w:r>
    </w:p>
    <w:p>
      <w:pPr>
        <w:pStyle w:val="Heading1"/>
        <w:spacing w:before="360" w:after="200"/>
      </w:pPr>
      <w:r>
        <w:rPr>
          <w:rFonts w:ascii="Times New Roman" w:cs="Times New Roman" w:eastAsia="Times New Roman" w:hAnsi="Times New Roman"/>
          <w:b/>
          <w:bCs/>
          <w:sz w:val="28"/>
          <w:szCs w:val="28"/>
        </w:rPr>
        <w:t xml:space="preserve">ASPECTS OF THE INVENTION</w:t>
      </w:r>
    </w:p>
    <w:p>
      <w:pPr>
        <w:spacing w:after="200" w:line="276"/>
        <w:ind w:left="0"/>
      </w:pPr>
      <w:r>
        <w:rPr>
          <w:rFonts w:ascii="Times New Roman" w:cs="Times New Roman" w:eastAsia="Times New Roman" w:hAnsi="Times New Roman"/>
          <w:b/>
          <w:bCs/>
          <w:sz w:val="24"/>
          <w:szCs w:val="24"/>
        </w:rPr>
        <w:t xml:space="preserve">[0035] </w:t>
      </w:r>
      <w:r>
        <w:rPr>
          <w:rFonts w:ascii="Times New Roman" w:cs="Times New Roman" w:eastAsia="Times New Roman" w:hAnsi="Times New Roman"/>
          <w:sz w:val="24"/>
          <w:szCs w:val="24"/>
        </w:rPr>
        <w:t xml:space="preserve">A computer-implemented method for structured experience transfer between autonomous AI agents, comprising: capturing an execution experience of a first AI agent as a structured Experience Record containing context, execution trace, outcome, learnings, and trust metadata; depositing the Experience Record into a managed Experience Pool with defined scope and governance policies; retrieving, by a second AI agent, relevant Experience Records from the pool based on task type similarity, context similarity, and trust scores prior to task execution; and applying the retrieved experience to improve the second agent’s task execution.</w:t>
      </w:r>
    </w:p>
    <w:p>
      <w:pPr>
        <w:spacing w:after="200" w:line="276"/>
        <w:ind w:left="0"/>
      </w:pPr>
      <w:r>
        <w:rPr>
          <w:rFonts w:ascii="Times New Roman" w:cs="Times New Roman" w:eastAsia="Times New Roman" w:hAnsi="Times New Roman"/>
          <w:b/>
          <w:bCs/>
          <w:sz w:val="24"/>
          <w:szCs w:val="24"/>
        </w:rPr>
        <w:t xml:space="preserve">[0036] </w:t>
      </w:r>
      <w:r>
        <w:rPr>
          <w:rFonts w:ascii="Times New Roman" w:cs="Times New Roman" w:eastAsia="Times New Roman" w:hAnsi="Times New Roman"/>
          <w:sz w:val="24"/>
          <w:szCs w:val="24"/>
        </w:rPr>
        <w:t xml:space="preserve">A system for compound intelligence across AI agent networks, comprising: one or more Experience Pools configured with access controls, validation requirements, and governance policies; a deposit interface for receiving structured Experience Records from contributing agents; a retrieval interface for serving relevant prior experience to consuming agents based on multi-factor relevance scoring; a trust engine that computes and maintains composite trust scores for each Experience Record based on source reputation, validation signals, outcome correlation, recency, and consistency; and a governance module that detects adversarial manipulation including experience poisoning, drift, and trust amplification attacks.</w:t>
      </w:r>
    </w:p>
    <w:p>
      <w:pPr>
        <w:spacing w:after="200" w:line="276"/>
        <w:ind w:left="0"/>
      </w:pPr>
      <w:r>
        <w:rPr>
          <w:rFonts w:ascii="Times New Roman" w:cs="Times New Roman" w:eastAsia="Times New Roman" w:hAnsi="Times New Roman"/>
          <w:b/>
          <w:bCs/>
          <w:sz w:val="24"/>
          <w:szCs w:val="24"/>
        </w:rPr>
        <w:t xml:space="preserve">[0037] </w:t>
      </w:r>
      <w:r>
        <w:rPr>
          <w:rFonts w:ascii="Times New Roman" w:cs="Times New Roman" w:eastAsia="Times New Roman" w:hAnsi="Times New Roman"/>
          <w:sz w:val="24"/>
          <w:szCs w:val="24"/>
        </w:rPr>
        <w:t xml:space="preserve">A method for governing shared AI agent knowledge, comprising: assigning initial trust scores to deposited Experience Records based on contributing agent reputation; accepting validation signals from independent validators that confirm, dispute, or amend deposited records; adjusting trust scores based on downstream outcome correlation when consuming agents report performance results; applying temporal decay to trust scores to account for environmental changes; detecting adversarial patterns including coordinated validation clusters and statistical outliers; and maintaining an append-only audit trail of all protocol operations for compliance and forensic analysis.</w:t>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276"/>
      </w:pPr>
      <w:r>
        <w:rPr>
          <w:rFonts w:ascii="Times New Roman" w:cs="Times New Roman" w:eastAsia="Times New Roman" w:hAnsi="Times New Roman"/>
          <w:sz w:val="24"/>
          <w:szCs w:val="24"/>
        </w:rPr>
        <w:t xml:space="preserve">A system and method for structured experience exchange between autonomous AI agents. The Agent Experience Transfer Protocol (AXTP) defines a standardized mechanism for AI agents to capture structured execution experience as Experience Records (XRs), deposit them into governed shared Experience Pools, and retrieve relevant prior experience before task execution. The protocol includes a trust and governance framework that validates experience accuracy, detects adversarial manipulation (including poisoning, drift, and amplification attacks), and maintains auditable trust scores that evolve based on source reputation, peer validation, downstream outcome correlation, and temporal decay. AXTP operates as a complementary layer in the agent protocol stack, enabling compound intelligence across agent networks while maintaining auditability, privacy, and governance controls.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2026-02-19T22:27:36.212Z</dcterms:created>
  <dcterms:modified xsi:type="dcterms:W3CDTF">2026-02-19T22:27:36.213Z</dcterms:modified>
</cp:coreProperties>
</file>

<file path=docProps/custom.xml><?xml version="1.0" encoding="utf-8"?>
<Properties xmlns="http://schemas.openxmlformats.org/officeDocument/2006/custom-properties" xmlns:vt="http://schemas.openxmlformats.org/officeDocument/2006/docPropsVTypes"/>
</file>