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>{{</w:t>
      </w:r>
      <w:proofErr w:type="spellStart"/>
      <w:r>
        <w:rPr>
          <w:rFonts w:ascii="Open Sans" w:eastAsia="Open Sans" w:hAnsi="Open Sans" w:cs="Open Sans"/>
          <w:b/>
          <w:sz w:val="20"/>
          <w:szCs w:val="20"/>
          <w:lang w:val="es-AR"/>
        </w:rPr>
        <w:t>Postulacion</w:t>
      </w:r>
      <w:proofErr w:type="spellEnd"/>
      <w:r>
        <w:rPr>
          <w:rFonts w:ascii="Open Sans" w:eastAsia="Open Sans" w:hAnsi="Open Sans" w:cs="Open Sans"/>
          <w:b/>
          <w:sz w:val="20"/>
          <w:szCs w:val="20"/>
          <w:lang w:val="es-AR"/>
        </w:rPr>
        <w:t>}}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>{{</w:t>
      </w:r>
      <w:proofErr w:type="spellStart"/>
      <w:r w:rsidR="003155F2">
        <w:rPr>
          <w:sz w:val="20"/>
          <w:szCs w:val="20"/>
          <w:lang w:val="es-AR"/>
        </w:rPr>
        <w:t>Postulacion</w:t>
      </w:r>
      <w:proofErr w:type="spellEnd"/>
      <w:r w:rsidR="003155F2">
        <w:rPr>
          <w:sz w:val="20"/>
          <w:szCs w:val="20"/>
          <w:lang w:val="es-AR"/>
        </w:rPr>
        <w:t>}}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</cp:coreProperties>
</file>