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7497" w:rsidRDefault="006D7497" w:rsidP="006D7497">
      <w:pPr>
        <w:spacing w:line="360" w:lineRule="auto"/>
      </w:pPr>
      <w:r>
        <w:t xml:space="preserve">"Aplicación móvil con geolocalización para mejorar el servicio de asistencia técnica especializada para los habitantes de la ciudad de Quito, 2026." </w:t>
      </w:r>
    </w:p>
    <w:p w:rsidR="006D7497" w:rsidRPr="003C472A" w:rsidRDefault="006D7497" w:rsidP="006D7497">
      <w:pPr>
        <w:spacing w:line="360" w:lineRule="auto"/>
        <w:rPr>
          <w:lang w:val="en-US"/>
        </w:rPr>
      </w:pPr>
      <w:r>
        <w:rPr>
          <w:lang w:val="en-US"/>
        </w:rPr>
        <w:t xml:space="preserve">"Mobile application with geolocation to improve specialized technical assistance services for the residents of Quito, 2026." </w:t>
      </w:r>
    </w:p>
    <w:p w:rsidR="006D7497" w:rsidRPr="003C472A" w:rsidRDefault="006D7497" w:rsidP="006D7497">
      <w:pPr>
        <w:spacing w:line="360" w:lineRule="auto"/>
        <w:rPr>
          <w:lang w:val="en-US"/>
        </w:rPr>
      </w:pPr>
    </w:p>
    <w:p w:rsidR="006D7497" w:rsidRDefault="006D7497" w:rsidP="006D7497">
      <w:pPr>
        <w:spacing w:line="360" w:lineRule="auto"/>
      </w:pPr>
      <w:r>
        <w:t xml:space="preserve">Débora Elizabeth Mera Castillo </w:t>
      </w:r>
      <w:r>
        <w:rPr>
          <w:vertAlign w:val="superscript"/>
        </w:rPr>
        <w:t>I</w:t>
      </w:r>
    </w:p>
    <w:p w:rsidR="006D7497" w:rsidRDefault="006D7497" w:rsidP="006D7497">
      <w:pPr>
        <w:spacing w:line="360" w:lineRule="auto"/>
        <w:rPr>
          <w:vertAlign w:val="superscript"/>
        </w:rPr>
      </w:pPr>
      <w:r>
        <w:t xml:space="preserve">Eduardo Augusto Alvarado Cadena </w:t>
      </w:r>
      <w:r>
        <w:rPr>
          <w:vertAlign w:val="superscript"/>
        </w:rPr>
        <w:t>II</w:t>
      </w:r>
    </w:p>
    <w:p w:rsidR="006D7497" w:rsidRDefault="006D7497" w:rsidP="006D7497">
      <w:pPr>
        <w:spacing w:line="360" w:lineRule="auto"/>
        <w:rPr>
          <w:vertAlign w:val="superscript"/>
        </w:rPr>
      </w:pPr>
    </w:p>
    <w:p w:rsidR="006D7497" w:rsidRDefault="006D7497" w:rsidP="006D7497">
      <w:pPr>
        <w:spacing w:line="360" w:lineRule="auto"/>
      </w:pPr>
      <w:r>
        <w:rPr>
          <w:vertAlign w:val="superscript"/>
        </w:rPr>
        <w:t xml:space="preserve">I </w:t>
      </w:r>
      <w:hyperlink r:id="rId4">
        <w:r>
          <w:rPr>
            <w:color w:val="1155CC"/>
            <w:u w:val="single"/>
          </w:rPr>
          <w:t>deboramc92@uniandes.edu.ec</w:t>
        </w:r>
      </w:hyperlink>
      <w:r>
        <w:rPr>
          <w:vertAlign w:val="superscript"/>
        </w:rPr>
        <w:t xml:space="preserve">   </w:t>
      </w:r>
      <w:r>
        <w:t xml:space="preserve">Universidad Regional Autónoma de los Andes, </w:t>
      </w:r>
    </w:p>
    <w:p w:rsidR="006D7497" w:rsidRDefault="006D7497" w:rsidP="006D7497">
      <w:pPr>
        <w:spacing w:line="360" w:lineRule="auto"/>
      </w:pPr>
      <w:hyperlink r:id="rId5">
        <w:r>
          <w:rPr>
            <w:color w:val="1155CC"/>
            <w:u w:val="single"/>
          </w:rPr>
          <w:t>https://or</w:t>
        </w:r>
      </w:hyperlink>
      <w:hyperlink r:id="rId6">
        <w:r>
          <w:rPr>
            <w:color w:val="1155CC"/>
            <w:u w:val="single"/>
          </w:rPr>
          <w:t>cid.org/0009-0000-6061-3640</w:t>
        </w:r>
      </w:hyperlink>
      <w:r>
        <w:t xml:space="preserve"> Quito, Ecuador.</w:t>
      </w:r>
    </w:p>
    <w:p w:rsidR="006D7497" w:rsidRDefault="006D7497" w:rsidP="006D7497">
      <w:pPr>
        <w:spacing w:line="360" w:lineRule="auto"/>
      </w:pPr>
    </w:p>
    <w:p w:rsidR="006D7497" w:rsidRDefault="006D7497" w:rsidP="006D7497">
      <w:pPr>
        <w:spacing w:line="360" w:lineRule="auto"/>
      </w:pPr>
      <w:r>
        <w:rPr>
          <w:vertAlign w:val="superscript"/>
        </w:rPr>
        <w:t xml:space="preserve">II </w:t>
      </w:r>
      <w:hyperlink r:id="rId7">
        <w:r>
          <w:rPr>
            <w:color w:val="1155CC"/>
            <w:u w:val="single"/>
          </w:rPr>
          <w:t>eduardoac60uniandes.edu.ec</w:t>
        </w:r>
      </w:hyperlink>
      <w:r>
        <w:rPr>
          <w:color w:val="1155CC"/>
          <w:u w:val="single"/>
        </w:rPr>
        <w:t xml:space="preserve"> </w:t>
      </w:r>
      <w:r>
        <w:t xml:space="preserve"> Universidad Regional Autónoma de los Andes,</w:t>
      </w:r>
    </w:p>
    <w:p w:rsidR="006D7497" w:rsidRDefault="006D7497" w:rsidP="006D7497">
      <w:pPr>
        <w:spacing w:line="360" w:lineRule="auto"/>
      </w:pPr>
      <w:hyperlink r:id="rId8">
        <w:r>
          <w:rPr>
            <w:color w:val="1155CC"/>
            <w:u w:val="single"/>
          </w:rPr>
          <w:t>https://orcid.org/0009-0000-3760-4279</w:t>
        </w:r>
      </w:hyperlink>
      <w:r>
        <w:t>, Quito, Ecuador.</w:t>
      </w:r>
    </w:p>
    <w:p w:rsidR="006D7497" w:rsidRDefault="006D7497" w:rsidP="006D7497">
      <w:pPr>
        <w:spacing w:line="360" w:lineRule="auto"/>
      </w:pPr>
    </w:p>
    <w:p w:rsidR="006D7497" w:rsidRDefault="006D7497" w:rsidP="006D7497">
      <w:pPr>
        <w:spacing w:line="360" w:lineRule="auto"/>
        <w:rPr>
          <w:b/>
          <w:bCs/>
        </w:rPr>
      </w:pPr>
      <w:r>
        <w:rPr>
          <w:b/>
          <w:bCs/>
        </w:rPr>
        <w:t>Resumen</w:t>
      </w:r>
    </w:p>
    <w:p w:rsidR="006D7497" w:rsidRDefault="006D7497" w:rsidP="006D7497">
      <w:pPr>
        <w:spacing w:line="360" w:lineRule="auto"/>
      </w:pPr>
      <w:r>
        <w:rPr>
          <w:b/>
          <w:bCs/>
        </w:rPr>
        <w:t>Palabras claves:</w:t>
      </w:r>
      <w:r>
        <w:t xml:space="preserve"> Aplicaciones móviles; Geolocalización; Servicios basados en localización; Economía colaborativa.</w:t>
      </w:r>
    </w:p>
    <w:p w:rsidR="006D7497" w:rsidRDefault="006D7497" w:rsidP="006D7497">
      <w:pPr>
        <w:spacing w:line="360" w:lineRule="auto"/>
      </w:pPr>
    </w:p>
    <w:p w:rsidR="006D7497" w:rsidRPr="003C472A" w:rsidRDefault="006D7497" w:rsidP="006D7497">
      <w:pPr>
        <w:spacing w:line="360" w:lineRule="auto"/>
        <w:rPr>
          <w:b/>
          <w:bCs/>
          <w:lang w:val="en-US"/>
        </w:rPr>
      </w:pPr>
      <w:proofErr w:type="spellStart"/>
      <w:r>
        <w:rPr>
          <w:b/>
          <w:bCs/>
          <w:lang w:val="en-US"/>
        </w:rPr>
        <w:t>Abstact</w:t>
      </w:r>
      <w:proofErr w:type="spellEnd"/>
    </w:p>
    <w:p w:rsidR="006D7497" w:rsidRPr="003C472A" w:rsidRDefault="006D7497" w:rsidP="006D7497">
      <w:pPr>
        <w:spacing w:line="360" w:lineRule="auto"/>
        <w:rPr>
          <w:lang w:val="en-US"/>
        </w:rPr>
      </w:pPr>
      <w:r>
        <w:rPr>
          <w:b/>
          <w:bCs/>
          <w:lang w:val="en-US"/>
        </w:rPr>
        <w:t>Keywords:</w:t>
      </w:r>
      <w:r>
        <w:rPr>
          <w:lang w:val="en-US"/>
        </w:rPr>
        <w:t xml:space="preserve"> Mobile application; Geolocation; Location-Based Services; Sharing economy. </w:t>
      </w:r>
    </w:p>
    <w:p w:rsidR="006D7497" w:rsidRPr="003C472A" w:rsidRDefault="006D7497" w:rsidP="006D7497">
      <w:pPr>
        <w:spacing w:line="360" w:lineRule="auto"/>
        <w:rPr>
          <w:lang w:val="en-US"/>
        </w:rPr>
      </w:pPr>
      <w:r>
        <w:rPr>
          <w:lang w:val="en-US"/>
        </w:rPr>
        <w:br w:type="page"/>
      </w:r>
    </w:p>
    <w:p w:rsidR="006D7497" w:rsidRDefault="006D7497" w:rsidP="006D7497">
      <w:pPr>
        <w:pStyle w:val="Ttulo1"/>
        <w:spacing w:line="360" w:lineRule="auto"/>
      </w:pPr>
      <w:r>
        <w:lastRenderedPageBreak/>
        <w:t xml:space="preserve">Introducción  </w:t>
      </w:r>
    </w:p>
    <w:p w:rsidR="006D7497" w:rsidRDefault="006D7497" w:rsidP="006D7497">
      <w:pPr>
        <w:spacing w:line="360" w:lineRule="auto"/>
      </w:pPr>
    </w:p>
    <w:p w:rsidR="006D7497" w:rsidRDefault="006D7497" w:rsidP="006D7497">
      <w:pPr>
        <w:spacing w:before="240" w:after="240" w:line="360" w:lineRule="auto"/>
      </w:pPr>
      <w:r>
        <w:t xml:space="preserve">El desarrollo de aplicaciones móviles con geolocalización ha fortalecido los servicios basados en localización (LBS), incorporando tecnologías como GNSS, computación en la nube y arquitecturas distribuidas para mejorar la precisión y reducir la latencia. Hernández </w:t>
      </w:r>
      <w:proofErr w:type="spellStart"/>
      <w:r>
        <w:t>Olcina</w:t>
      </w:r>
      <w:proofErr w:type="spellEnd"/>
      <w:r>
        <w:t xml:space="preserve"> et al. (2024) demostraron que el procesamiento de datos GNSS en la nube reducir los tiempos de respuesta y la precisión en aplicaciones con geolocalización en tiempo real, favoreciendo una prestación de servicios más eficiente.</w:t>
      </w:r>
    </w:p>
    <w:p w:rsidR="006D7497" w:rsidRDefault="006D7497" w:rsidP="006D7497">
      <w:pPr>
        <w:tabs>
          <w:tab w:val="left" w:pos="8078"/>
        </w:tabs>
        <w:spacing w:before="240" w:after="240" w:line="360" w:lineRule="auto"/>
        <w:ind w:right="-40"/>
      </w:pPr>
      <w:r>
        <w:t>Las investigaciones se enfocan en transporte, navegación y logística, mientras que son limitados los estudios sobre aplicaciones móviles con geolocalización para el acceso oportuno a servicios de asistencia técnica especializada. Esta brecha sustenta el desarrollo de la presente investigación, orientada al diseño de una aplicación móvil que facilite la localización y vinculación entre usuarios y prestadores de servicios técnicos en la ciudad de Quito.</w:t>
      </w:r>
    </w:p>
    <w:p w:rsidR="006D7497" w:rsidRDefault="006D7497" w:rsidP="006D7497">
      <w:pPr>
        <w:spacing w:before="240" w:after="240" w:line="360" w:lineRule="auto"/>
        <w:ind w:right="-40"/>
        <w:rPr>
          <w:b/>
          <w:bCs/>
        </w:rPr>
      </w:pPr>
      <w:r>
        <w:t>Las aplicaciones móviles con geolocalización integran tecnologías como GPS, GNSS, redes inalámbricas y servicios en la nube para identificar la ubicación del usuario y ofrecer información contextualizada en tiempo real. Estas soluciones visualizan rutas, localizan recursos cercanos, actualizan información de forma dinámica y personalizan los servicios según el contexto geográfico (fuente por verificar). Según su finalidad las aplicaciones móviles se clasifican en: para navegación, transporte, logística, salud, comercio y servicios bajo demanda, incluyendo la asistencia técnica especializada, reduciendo los tiempos de búsqueda y atención.</w:t>
      </w:r>
    </w:p>
    <w:p w:rsidR="006D7497" w:rsidRDefault="006D7497" w:rsidP="006D7497">
      <w:pPr>
        <w:spacing w:line="360" w:lineRule="auto"/>
      </w:pPr>
      <w:r>
        <w:t>Actualmente las aplicaciones móviles con geolocalización desempeñan un papel estratégico en la transformación digital de diversos sectores. Los servicios bajo demanda, posibilitan la identificación del prestador más cercano, la estimación de tiempos de llegada, el seguimiento en tiempo real y la afinación de la asignación de recursos. Estas funcionalidades ayudan a reducir los tiempos de respuesta y ofrecer una experiencia de usuario más satisfactoria, convirtiéndose en una herramienta clave para plataformas de asistencia técnica especializada.</w:t>
      </w:r>
    </w:p>
    <w:p w:rsidR="006D7497" w:rsidRDefault="006D7497" w:rsidP="006D7497">
      <w:pPr>
        <w:spacing w:line="360" w:lineRule="auto"/>
        <w:rPr>
          <w:shd w:val="clear" w:color="auto" w:fill="FF9900"/>
        </w:rPr>
      </w:pPr>
      <w:r>
        <w:t>La geolocalización constituye el componente tecnológico que vincula la oferta y la demanda de servicios técnicos especializados. Al identificar la ubicación del usuario y de los prestadores disponibles, la aplicación puede seleccionar al profesional más cercano, estimar el tiempo de desplazamiento y facilitar una comunicación inmediata entre ambas partes</w:t>
      </w:r>
    </w:p>
    <w:p w:rsidR="006D7497" w:rsidRDefault="006D7497" w:rsidP="006D7497">
      <w:pPr>
        <w:spacing w:before="240" w:after="240" w:line="360" w:lineRule="auto"/>
      </w:pPr>
      <w:r>
        <w:lastRenderedPageBreak/>
        <w:t>El acceso oportuno a los servicios de asistencia técnica especializada responde a la necesidad de disminuir las barreras geográficas, temporales y operativas que limitan la atención eficiente de los usuarios. La transformación digital ha favorecido el desarrollo de plataformas bajo demanda (</w:t>
      </w:r>
      <w:proofErr w:type="spellStart"/>
      <w:r>
        <w:t>On-Demand</w:t>
      </w:r>
      <w:proofErr w:type="spellEnd"/>
      <w:r>
        <w:t xml:space="preserve"> </w:t>
      </w:r>
      <w:proofErr w:type="spellStart"/>
      <w:r>
        <w:t>Services</w:t>
      </w:r>
      <w:proofErr w:type="spellEnd"/>
      <w:r>
        <w:t>) capaces de conectar usuarios y prestadores de servicios en tiempo real mediante tecnologías móviles y geolocalización, facilitar la asignación de recursos y reduciendo los tiempos de respuesta (</w:t>
      </w:r>
      <w:proofErr w:type="spellStart"/>
      <w:r>
        <w:t>Alauddin</w:t>
      </w:r>
      <w:proofErr w:type="spellEnd"/>
      <w:r>
        <w:t xml:space="preserve"> et al., 2024; </w:t>
      </w:r>
      <w:proofErr w:type="spellStart"/>
      <w:r>
        <w:t>Dedema</w:t>
      </w:r>
      <w:proofErr w:type="spellEnd"/>
      <w:r>
        <w:t xml:space="preserve"> &amp; Rosenbaum, 2024).</w:t>
      </w:r>
    </w:p>
    <w:p w:rsidR="006D7497" w:rsidRDefault="006D7497" w:rsidP="006D7497">
      <w:pPr>
        <w:spacing w:before="240" w:after="240" w:line="360" w:lineRule="auto"/>
      </w:pPr>
      <w:r>
        <w:t>La capacidad de localizar, solicitar y recibir asistencia técnica calificada en el momento y lugar requeridos, minimizando los tiempos de búsqueda, espera y desplazamiento. Este proceso implica la disponibilidad de profesionales, la asignación eficiente según ubicación y disponibilidad, la comunicación inmediata entre las partes y el seguimiento del servicio hasta su finalización, factores que inciden directamente en la calidad de la atención y la satisfacción del usuario (</w:t>
      </w:r>
      <w:proofErr w:type="spellStart"/>
      <w:r>
        <w:t>Alauddin</w:t>
      </w:r>
      <w:proofErr w:type="spellEnd"/>
      <w:r>
        <w:t xml:space="preserve"> et al., 2024).</w:t>
      </w:r>
    </w:p>
    <w:p w:rsidR="006D7497" w:rsidRDefault="006D7497" w:rsidP="006D7497">
      <w:pPr>
        <w:spacing w:before="240" w:after="240" w:line="360" w:lineRule="auto"/>
      </w:pPr>
      <w:r>
        <w:t xml:space="preserve">Los servicios de asistencia técnica especializada comprenden áreas como electricidad, plomería, cerrajería, refrigeración, mantenimiento de electrodomésticos, soporte informático y asistencia mecánica automotriz. La digitalización de estos servicios ha permitido el desarrollo de aplicaciones móviles que facilitan la localización de profesionales cercanos, </w:t>
      </w:r>
      <w:proofErr w:type="spellStart"/>
      <w:r>
        <w:t>aumnetando</w:t>
      </w:r>
      <w:proofErr w:type="spellEnd"/>
      <w:r>
        <w:t xml:space="preserve"> la coordinación entre usuarios y prestadores y aumentando la eficiencia operativa (</w:t>
      </w:r>
      <w:proofErr w:type="spellStart"/>
      <w:r>
        <w:t>Dedema</w:t>
      </w:r>
      <w:proofErr w:type="spellEnd"/>
      <w:r>
        <w:t xml:space="preserve"> &amp; Rosenbaum, 2024).</w:t>
      </w:r>
    </w:p>
    <w:p w:rsidR="006D7497" w:rsidRDefault="006D7497" w:rsidP="006D7497">
      <w:pPr>
        <w:spacing w:before="240" w:after="240" w:line="360" w:lineRule="auto"/>
      </w:pPr>
      <w:r>
        <w:t>La incorporación de aplicaciones móviles con geolocalización constituye un factor determinante para facilitar el acceso a estos servicios. La integración de tecnologías como GPS, Sistemas de Información Geográfica (SIG), Servicios Basados en Localización (</w:t>
      </w:r>
      <w:proofErr w:type="spellStart"/>
      <w:r>
        <w:t>Location-Based</w:t>
      </w:r>
      <w:proofErr w:type="spellEnd"/>
      <w:r>
        <w:t xml:space="preserve"> </w:t>
      </w:r>
      <w:proofErr w:type="spellStart"/>
      <w:r>
        <w:t>Services</w:t>
      </w:r>
      <w:proofErr w:type="spellEnd"/>
      <w:r>
        <w:t xml:space="preserve">, LBS) y computación en la nube que identifican la ubicación de usuarios y técnicos en tiempo real, automatizar la asignación del prestador más cercano y potenciar las rutas de desplazamiento, reduciendo significativamente los tiempos de atención (Hernández </w:t>
      </w:r>
      <w:proofErr w:type="spellStart"/>
      <w:r>
        <w:t>Olcina</w:t>
      </w:r>
      <w:proofErr w:type="spellEnd"/>
      <w:r>
        <w:t xml:space="preserve"> et al., 2024; </w:t>
      </w:r>
      <w:proofErr w:type="spellStart"/>
      <w:r>
        <w:t>Sukhenko</w:t>
      </w:r>
      <w:proofErr w:type="spellEnd"/>
      <w:r>
        <w:t xml:space="preserve"> et al., 2025).</w:t>
      </w:r>
    </w:p>
    <w:p w:rsidR="006D7497" w:rsidRDefault="006D7497" w:rsidP="006D7497">
      <w:pPr>
        <w:spacing w:before="240" w:after="240" w:line="360" w:lineRule="auto"/>
      </w:pPr>
      <w:r>
        <w:t>Las plataformas basadas en localización incrementan la precisión en la asignación de recursos, cimentan la accesibilidad y la eficiencia de los servicios especializados, siempre que se garantice la protección de la privacidad y el tratamiento adecuado de los datos de ubicación de los usuarios (</w:t>
      </w:r>
      <w:proofErr w:type="spellStart"/>
      <w:r>
        <w:t>Özdal</w:t>
      </w:r>
      <w:proofErr w:type="spellEnd"/>
      <w:r>
        <w:t xml:space="preserve"> </w:t>
      </w:r>
      <w:proofErr w:type="spellStart"/>
      <w:r>
        <w:t>Oktay</w:t>
      </w:r>
      <w:proofErr w:type="spellEnd"/>
      <w:r>
        <w:t xml:space="preserve"> et al., 2023). La aplicación móvil con geolocalización constituye un medio tecnológico que consolidan el acceso oportuno a los servicios de asistencia técnica especializada, al facilitar la vinculación eficiente entre usuarios y prestadores de servicios.</w:t>
      </w:r>
    </w:p>
    <w:p w:rsidR="006D7497" w:rsidRDefault="006D7497" w:rsidP="006D7497">
      <w:pPr>
        <w:spacing w:line="360" w:lineRule="auto"/>
      </w:pPr>
      <w:r>
        <w:lastRenderedPageBreak/>
        <w:t>La Ingeniería de Software con la incorporación de una arquitectura limpia (</w:t>
      </w:r>
      <w:proofErr w:type="spellStart"/>
      <w:r>
        <w:t>Clean</w:t>
      </w:r>
      <w:proofErr w:type="spellEnd"/>
      <w:r>
        <w:t xml:space="preserve"> </w:t>
      </w:r>
      <w:proofErr w:type="spellStart"/>
      <w:r>
        <w:t>Architecture</w:t>
      </w:r>
      <w:proofErr w:type="spellEnd"/>
      <w:r>
        <w:t xml:space="preserve">) asegura la relación al separar la lógica de negocio, la gestión de la geolocalización y la interfaz de usuario en componentes independientes, facilitando el mantenimiento, la escalabilidad y la integración con servicios externos, como </w:t>
      </w:r>
      <w:proofErr w:type="spellStart"/>
      <w:r>
        <w:t>APIs</w:t>
      </w:r>
      <w:proofErr w:type="spellEnd"/>
      <w:r>
        <w:t xml:space="preserve"> de mapas y sistemas de posicionamiento (Martin, 2017). </w:t>
      </w:r>
    </w:p>
    <w:p w:rsidR="006D7497" w:rsidRDefault="006D7497" w:rsidP="006D7497">
      <w:pPr>
        <w:spacing w:line="360" w:lineRule="auto"/>
      </w:pPr>
      <w:r>
        <w:t>La relación entre las variables de esta investigación se fundamenta en que la aplicación móvil con geolocalización constituye el medio tecnológico que facilita el acceso oportuno a los servicios de asistencia técnica especializada</w:t>
      </w:r>
      <w:r>
        <w:rPr>
          <w:b/>
          <w:bCs/>
        </w:rPr>
        <w:t>.</w:t>
      </w:r>
      <w:r>
        <w:t xml:space="preserve"> A través de la localización en tiempo real, la asignación eficiente de prestadores, y la comunicación inmediata, la aplicación aporta a disminuir los tiempos de búsqueda y atención, mejorando la disponibilidad y accesibilidad de los servicios para los usuarios. </w:t>
      </w:r>
    </w:p>
    <w:p w:rsidR="006D7497" w:rsidRDefault="006D7497" w:rsidP="006D7497">
      <w:pPr>
        <w:spacing w:after="0" w:line="360" w:lineRule="auto"/>
      </w:pPr>
      <w:r>
        <w:t>La Constitución de la República del Ecuador (2008), en el artículo 16, reconoce el acceso universal a las TIC, y el artículo 66, numerales 19 y 20, garantiza la protección de datos personales, la intimidad y la privacidad. Por esta razón la aplicación deberá asegurar la confidencialidad, integridad y disponibilidad de la información se debe obtener el consentimiento libre, específico, informado e inequívoco del usuario para tratar su ubicación geográfica, con medidas técnicas y organizativas que prevengan accesos no autorizados. Además, la Ley de Comercio Electrónico, Firmas Electrónicas y Mensajes de Datos, que otorga validez jurídica y probatoria a la información transmitida por medios electrónicos, sustentando el intercambio de solicitudes, confirmaciones y registros entre usuarios y prestadores de servicios dentro de la aplicación.</w:t>
      </w:r>
    </w:p>
    <w:p w:rsidR="006D7497" w:rsidRDefault="006D7497" w:rsidP="006D7497">
      <w:pPr>
        <w:spacing w:after="0" w:line="360" w:lineRule="auto"/>
      </w:pPr>
      <w:bookmarkStart w:id="0" w:name="_heading=h.iiqoolh1vwsm" w:colFirst="0" w:colLast="0"/>
      <w:bookmarkEnd w:id="0"/>
    </w:p>
    <w:p w:rsidR="006D7497" w:rsidRDefault="006D7497" w:rsidP="006D7497">
      <w:pPr>
        <w:spacing w:after="0" w:line="360" w:lineRule="auto"/>
      </w:pPr>
      <w:bookmarkStart w:id="1" w:name="_heading=h.w1lze06mauvp" w:colFirst="0" w:colLast="0"/>
      <w:bookmarkEnd w:id="1"/>
      <w:r>
        <w:t>La digitalización y la economía colaborativa impulsan las plataformas de servicios bajo demanda: se proyecta un mercado de USD 674,1 mil millones en 2026, con una penetración de smartphones que superará el 80 % de la población (6 500 millones de usuarios) en 2025. El mercado global de asistencia alcanzó USD 40,9 mil millones en 2025, y plataformas como Urban Company más de 10 millones de usuarios en 2023 confirman el potencial de la geolocalización y los sistemas de reputación para conectar usuarios y prestadores de forma rápida y confiable (fuente por verificar).</w:t>
      </w:r>
    </w:p>
    <w:p w:rsidR="006D7497" w:rsidRDefault="006D7497" w:rsidP="006D7497">
      <w:pPr>
        <w:spacing w:after="0" w:line="360" w:lineRule="auto"/>
      </w:pPr>
      <w:bookmarkStart w:id="2" w:name="_heading=h.7pncjttqm41u" w:colFirst="0" w:colLast="0"/>
      <w:bookmarkEnd w:id="2"/>
    </w:p>
    <w:p w:rsidR="006D7497" w:rsidRDefault="006D7497" w:rsidP="006D7497">
      <w:pPr>
        <w:spacing w:after="0" w:line="360" w:lineRule="auto"/>
      </w:pPr>
      <w:r>
        <w:t>En Ecuador, el 83,9 % de la población usa Internet (15,4 millones de usuarios) y la penetración móvil es cercana al 100 % (</w:t>
      </w:r>
      <w:proofErr w:type="spellStart"/>
      <w:r>
        <w:t>DataReportal</w:t>
      </w:r>
      <w:proofErr w:type="spellEnd"/>
      <w:r>
        <w:t xml:space="preserve">, 2026), lo que evidencia un amplio acceso a aplicaciones móviles. Sin embargo, el 53,4 % de la población ocupada trabaja en informalidad </w:t>
      </w:r>
      <w:r>
        <w:lastRenderedPageBreak/>
        <w:t>(INEC, 2022b), lo que limita la visibilidad y promoción de técnicos y mecánicos. El país registra 3 138 562 vehículos matriculados, de los cuales el 21,5 % (673 938) corresponde a Pichincha (INEC, 2025), concentrando una alta demanda de asistencia mecánica.</w:t>
      </w:r>
    </w:p>
    <w:p w:rsidR="006D7497" w:rsidRDefault="006D7497" w:rsidP="006D7497">
      <w:pPr>
        <w:spacing w:after="0" w:line="360" w:lineRule="auto"/>
      </w:pPr>
      <w:bookmarkStart w:id="3" w:name="_heading=h.4izcwq7yxxsf" w:colFirst="0" w:colLast="0"/>
      <w:bookmarkEnd w:id="3"/>
      <w:r>
        <w:t>Quito, con 2 679 722 habitantes (INEC, 2022a), reúne condiciones favorables para una plataforma digital de servicios: buena cobertura móvil y de Internet, pero persisten la informalidad de técnicos y talleres, la ausencia de un directorio geolocalizado y la escasa comunicación entre prestadores y proveedores de repuestos. A esto se suma una congestión vehicular con tiempos de viaje de hasta 46 minutos en hora pico, que retrasa la atención en emergencias.</w:t>
      </w:r>
    </w:p>
    <w:p w:rsidR="006D7497" w:rsidRDefault="006D7497" w:rsidP="006D7497">
      <w:pPr>
        <w:pBdr>
          <w:top w:val="nil"/>
          <w:left w:val="nil"/>
          <w:bottom w:val="nil"/>
          <w:right w:val="nil"/>
          <w:between w:val="nil"/>
        </w:pBdr>
        <w:spacing w:line="360" w:lineRule="auto"/>
      </w:pPr>
      <w:bookmarkStart w:id="4" w:name="_heading=h.3fysgv1ch8xg" w:colFirst="0" w:colLast="0"/>
      <w:bookmarkStart w:id="5" w:name="_heading=h.e44nbkksaezf" w:colFirst="0" w:colLast="0"/>
      <w:bookmarkEnd w:id="4"/>
      <w:bookmarkEnd w:id="5"/>
    </w:p>
    <w:p w:rsidR="006D7497" w:rsidRDefault="006D7497" w:rsidP="006D7497">
      <w:pPr>
        <w:pBdr>
          <w:top w:val="nil"/>
          <w:left w:val="nil"/>
          <w:bottom w:val="nil"/>
          <w:right w:val="nil"/>
          <w:between w:val="nil"/>
        </w:pBdr>
        <w:spacing w:line="360" w:lineRule="auto"/>
      </w:pPr>
      <w:r>
        <w:t xml:space="preserve">Los habitantes de la ciudad de Quito tienen dificultades para acceder de manera inmediata, geolocalizada y confiable a servicios técnicos integrales, debido a la inexistencia de un canal que conecte eficientemente a los usuarios con los prestadores de servicios, la limitada comunicación entre técnicos, mecánicos y proveedores de repuestos, y el desconocimiento de la ubicación de profesionales confiables. Esta situación provoca demoras en la atención, incrementa el tiempo y los recursos invertidos en la búsqueda de ayuda, reduce las oportunidades laborales de los prestadores de servicios y puede agravar problemas domésticos o mecánicos por la falta de una respuesta oportuna.  Por lo </w:t>
      </w:r>
      <w:proofErr w:type="gramStart"/>
      <w:r>
        <w:t>tanto</w:t>
      </w:r>
      <w:proofErr w:type="gramEnd"/>
      <w:r>
        <w:t xml:space="preserve"> una aplicación que integre geolocalización, disponibilidad en tiempo real y sistemas de calificación contribuiría a reducir los tiempos de búsqueda, aumentar la confianza de los usuarios y aumentar las oportunidades de trabajo para los prestadores de servicios.</w:t>
      </w:r>
    </w:p>
    <w:p w:rsidR="006D7497" w:rsidRDefault="006D7497" w:rsidP="006D7497">
      <w:pPr>
        <w:pBdr>
          <w:top w:val="nil"/>
          <w:left w:val="nil"/>
          <w:bottom w:val="nil"/>
          <w:right w:val="nil"/>
          <w:between w:val="nil"/>
        </w:pBdr>
        <w:spacing w:line="360" w:lineRule="auto"/>
      </w:pPr>
      <w:bookmarkStart w:id="6" w:name="_heading=h.n3ji17f1nrzs" w:colFirst="0" w:colLast="0"/>
      <w:bookmarkEnd w:id="6"/>
      <w:r>
        <w:t xml:space="preserve">El tema de esta investigación es: “Aplicación móvil con geolocalización para mejorar el servicio de asistencia técnica integral de los habitantes de la ciudad de Quito, 2026.” cuyo objetivo general plantea “Diseñar una aplicación móvil con geolocalización, implementada mediante una arquitectura limpia, que facilite el acceso a servicios de asistencia técnica especializada mediante la localización y vinculación eficiente entre usuarios y prestadores de servicios en la ciudad de Quito.”. Los objetivos específicos son: Analizar los fundamentos científicos y tecnológicos relacionados con las aplicaciones móviles con geolocalización, las arquitecturas limpias y el acceso oportuno a los servicios de asistencia técnica especializada, mediante la revisión de literatura científica especializada, Identificar los requerimientos funcionales y no funcionales de una aplicación móvil con geolocalización mediante el análisis de las necesidades de usuarios y prestadores de servicios de asistencia técnica especializada en la ciudad de Quito, Modelar la arquitectura y los componentes funcionales de una aplicación </w:t>
      </w:r>
      <w:r>
        <w:lastRenderedPageBreak/>
        <w:t xml:space="preserve">móvil con geolocalización, basada en una arquitectura limpia, orientada a facilitar el acceso oportuno a los servicios de asistencia técnica especializada. </w:t>
      </w:r>
    </w:p>
    <w:p w:rsidR="006D7497" w:rsidRDefault="006D7497" w:rsidP="006D7497">
      <w:pPr>
        <w:pBdr>
          <w:top w:val="nil"/>
          <w:left w:val="nil"/>
          <w:bottom w:val="nil"/>
          <w:right w:val="nil"/>
          <w:between w:val="nil"/>
        </w:pBdr>
        <w:spacing w:line="360" w:lineRule="auto"/>
      </w:pPr>
      <w:r>
        <w:rPr>
          <w:b/>
          <w:bCs/>
        </w:rPr>
        <w:t>Métodos</w:t>
      </w:r>
    </w:p>
    <w:p w:rsidR="006D7497" w:rsidRDefault="006D7497" w:rsidP="006D7497">
      <w:pPr>
        <w:spacing w:before="240" w:after="240" w:line="360" w:lineRule="auto"/>
      </w:pPr>
      <w:r>
        <w:rPr>
          <w:b/>
          <w:bCs/>
        </w:rPr>
        <w:t>Enfoque y tipo de investigación.</w:t>
      </w:r>
      <w:r>
        <w:t xml:space="preserve"> Esta investigación se desarrolla bajo un enfoque mixto (</w:t>
      </w:r>
      <w:proofErr w:type="spellStart"/>
      <w:r>
        <w:t>cuali</w:t>
      </w:r>
      <w:proofErr w:type="spellEnd"/>
      <w:r>
        <w:t>-cuantitativo), que combina el análisis documental propio del componente cualitativo con la recolección y el tratamiento estadístico de datos primarios característico del componente cuantitativo (Hernández-Sampieri &amp; Mendoza, 2018). Por la finalidad, el estudio es de tipo aplicado ya que busca generar una solución tecnológica concreta a partir del conocimiento existente; por alcance es descriptivo, ya que se caracteriza las necesidades de los usuarios y prestadores de servicios de asistencia técnica especializada en la ciudad de Quito; y por diseño, es no experimental y transversal, ya que las variables no son manipuladas y la información se recolecta en un único momento.</w:t>
      </w:r>
    </w:p>
    <w:p w:rsidR="006D7497" w:rsidRDefault="006D7497" w:rsidP="006D7497">
      <w:pPr>
        <w:spacing w:before="240" w:after="240" w:line="360" w:lineRule="auto"/>
      </w:pPr>
      <w:r>
        <w:rPr>
          <w:b/>
          <w:bCs/>
        </w:rPr>
        <w:t>Métodos teóricos.</w:t>
      </w:r>
      <w:r>
        <w:t xml:space="preserve"> Cumple con el primer objetivo específico, orientado a analizar los fundamentos teóricos y tecnológicos relacionados con las aplicaciones móviles con geolocalización, las arquitecturas limpias y el acceso oportuno a los servicios de asistencia técnica especializada, se aplicó el método analítico-sintético mediante una revisión bibliográfica sistemática de literatura indexada en bases de datos como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y Google </w:t>
      </w:r>
      <w:proofErr w:type="spellStart"/>
      <w:r>
        <w:t>Scholar</w:t>
      </w:r>
      <w:proofErr w:type="spellEnd"/>
      <w:r>
        <w:t>, publicada preferentemente entre 2020 y 2025. Este proceso permitió identificar, seleccionar y sintetizar los antecedentes teóricos, conceptuales y legales que sustentan la investigación.</w:t>
      </w:r>
    </w:p>
    <w:p w:rsidR="006D7497" w:rsidRDefault="006D7497" w:rsidP="006D7497">
      <w:pPr>
        <w:spacing w:before="240" w:after="240" w:line="360" w:lineRule="auto"/>
      </w:pPr>
      <w:r>
        <w:rPr>
          <w:b/>
          <w:bCs/>
        </w:rPr>
        <w:t>Población, muestra y técnica de recolección de datos.</w:t>
      </w:r>
      <w:r>
        <w:t xml:space="preserve"> Para el segundo objetivo específico, dirigido a identificar los requerimientos funcionales y no funcionales de la aplicación mediante el análisis de las necesidades de usuarios y prestadores de servicios, se empleó como técnica la encuesta, aplicada mediante un cuestionario estructurado con preguntas cerradas y escala tipo Likert. La población de estudio son los habitantes de la ciudad de Quito (2 679 722 habitantes, según el Censo de Población y Vivienda 2022 del INEC) y los prestadores de servicios de asistencia técnica especializada (electricidad, plomería, cerrajería, refrigeración, soporte y asistencia mecánica) que operan en la ciudad. Dado el tamaño de la población, se calculó una muestra probabilística para población mediante la fórmula n = (Z² × p × q) / e², considerando un nivel de confianza del 95 % (Z = 1,96), una probabilidad de ocurrencia p = q = 0,5 y un </w:t>
      </w:r>
      <w:r>
        <w:lastRenderedPageBreak/>
        <w:t xml:space="preserve">margen de error del 5 %, lo que determinó un tamaño muestral de 384 encuestados, distribuidos proporcionalmente entre usuarios finales y prestadores de servicios. </w:t>
      </w:r>
    </w:p>
    <w:p w:rsidR="006D7497" w:rsidRDefault="006D7497" w:rsidP="006D7497">
      <w:pPr>
        <w:spacing w:before="240" w:after="240" w:line="360" w:lineRule="auto"/>
      </w:pPr>
      <w:r>
        <w:rPr>
          <w:b/>
          <w:bCs/>
        </w:rPr>
        <w:t>Metodología de desarrollo de software.</w:t>
      </w:r>
      <w:r>
        <w:t xml:space="preserve"> Para el cumplimiento </w:t>
      </w:r>
      <w:proofErr w:type="gramStart"/>
      <w:r>
        <w:t>del  objetivo</w:t>
      </w:r>
      <w:proofErr w:type="gramEnd"/>
      <w:r>
        <w:t xml:space="preserve"> específico tres, orientado a modelar la arquitectura y los componentes funcionales de la aplicación móvil, se adoptó la metodología ágil Scrum (</w:t>
      </w:r>
      <w:proofErr w:type="spellStart"/>
      <w:r>
        <w:t>Schwaber</w:t>
      </w:r>
      <w:proofErr w:type="spellEnd"/>
      <w:r>
        <w:t xml:space="preserve"> &amp; Sutherland, 2020), que divide el desarrollo en incrementos cortos (</w:t>
      </w:r>
      <w:proofErr w:type="spellStart"/>
      <w:r>
        <w:t>sprints</w:t>
      </w:r>
      <w:proofErr w:type="spellEnd"/>
      <w:r>
        <w:t xml:space="preserve">) y facilita la incorporación progresiva de los requerimientos identificados en la fase anterior. A partir del </w:t>
      </w:r>
      <w:proofErr w:type="spellStart"/>
      <w:r>
        <w:t>Product</w:t>
      </w:r>
      <w:proofErr w:type="spellEnd"/>
      <w:r>
        <w:t xml:space="preserve"> Backlog, elaborado con las historias de usuario derivadas de los resultados de la encuesta, se modelaron los componentes del sistema siguiendo los principios de la arquitectura limpia (</w:t>
      </w:r>
      <w:proofErr w:type="spellStart"/>
      <w:r>
        <w:t>Clean</w:t>
      </w:r>
      <w:proofErr w:type="spellEnd"/>
      <w:r>
        <w:t xml:space="preserve"> </w:t>
      </w:r>
      <w:proofErr w:type="spellStart"/>
      <w:r>
        <w:t>Architecture</w:t>
      </w:r>
      <w:proofErr w:type="spellEnd"/>
      <w:r>
        <w:t>) propuesta por Martin (2017), la cual organiza la solución en capas independientes de presentación, aplicación, dominio e infraestructura, desacoplando la lógica de negocio de los detalles tecnológicos y facilitando el mantenimiento, la escalabilidad y las pruebas del sistema.</w:t>
      </w:r>
    </w:p>
    <w:p w:rsidR="006D7497" w:rsidRDefault="006D7497" w:rsidP="006D7497">
      <w:pPr>
        <w:spacing w:before="240" w:after="240" w:line="360" w:lineRule="auto"/>
      </w:pPr>
      <w:r>
        <w:rPr>
          <w:b/>
          <w:bCs/>
        </w:rPr>
        <w:t>Herramientas y tecnologías.</w:t>
      </w:r>
      <w:r>
        <w:t xml:space="preserve"> El desarrollo de la aplicación se </w:t>
      </w:r>
      <w:proofErr w:type="spellStart"/>
      <w:r>
        <w:t>desarrollo</w:t>
      </w:r>
      <w:proofErr w:type="spellEnd"/>
      <w:r>
        <w:t xml:space="preserve"> poniendo en práctica los principios de arquitectura limpia propuesta: </w:t>
      </w:r>
      <w:proofErr w:type="spellStart"/>
      <w:r>
        <w:t>NestJS</w:t>
      </w:r>
      <w:proofErr w:type="spellEnd"/>
      <w:r>
        <w:t xml:space="preserve"> (Node.js) para la implementación del </w:t>
      </w:r>
      <w:proofErr w:type="spellStart"/>
      <w:r>
        <w:t>backend</w:t>
      </w:r>
      <w:proofErr w:type="spellEnd"/>
      <w:r>
        <w:t xml:space="preserve"> y los servicios API REST organizados por capas, casos de uso e infraestructura; Angular para </w:t>
      </w:r>
      <w:proofErr w:type="spellStart"/>
      <w:r>
        <w:t>frontend</w:t>
      </w:r>
      <w:proofErr w:type="spellEnd"/>
      <w:r>
        <w:t xml:space="preserve"> y de la interfaz móvil, consumiendo los servicios de </w:t>
      </w:r>
      <w:proofErr w:type="spellStart"/>
      <w:r>
        <w:t>Repository</w:t>
      </w:r>
      <w:proofErr w:type="spellEnd"/>
      <w:r>
        <w:t xml:space="preserve"> e Inyección de Dependencias; y MySQL  como gestor de base de datos relacional Para la integración de servicios de ubicación se contempla el uso de </w:t>
      </w:r>
      <w:proofErr w:type="spellStart"/>
      <w:r>
        <w:t>APIs</w:t>
      </w:r>
      <w:proofErr w:type="spellEnd"/>
      <w:r>
        <w:t xml:space="preserve"> de mapas y geolocalización, mientras que el modelado de la arquitectura y de los procesos se realizó mediante diagramas UML</w:t>
      </w:r>
    </w:p>
    <w:p w:rsidR="006D7497" w:rsidRDefault="006D7497" w:rsidP="006D7497">
      <w:pPr>
        <w:spacing w:line="360" w:lineRule="auto"/>
        <w:rPr>
          <w:b/>
          <w:bCs/>
        </w:rPr>
      </w:pPr>
    </w:p>
    <w:p w:rsidR="006D7497" w:rsidRPr="006D7497" w:rsidRDefault="006D7497" w:rsidP="006D7497">
      <w:pPr>
        <w:spacing w:line="360" w:lineRule="auto"/>
        <w:rPr>
          <w:b/>
          <w:bCs/>
          <w:lang w:val="es-EC"/>
        </w:rPr>
      </w:pPr>
      <w:r w:rsidRPr="006D7497">
        <w:rPr>
          <w:b/>
          <w:bCs/>
          <w:lang w:val="es-EC"/>
        </w:rPr>
        <w:t>Bibliografía</w:t>
      </w:r>
    </w:p>
    <w:p w:rsidR="006D7497" w:rsidRPr="006D7497" w:rsidRDefault="006D7497" w:rsidP="006D7497">
      <w:pPr>
        <w:spacing w:line="360" w:lineRule="auto"/>
        <w:rPr>
          <w:b/>
          <w:bCs/>
          <w:lang w:val="es-EC"/>
        </w:rPr>
      </w:pPr>
    </w:p>
    <w:p w:rsidR="006D7497" w:rsidRDefault="006D7497" w:rsidP="006D7497">
      <w:pPr>
        <w:pBdr>
          <w:top w:val="nil"/>
          <w:left w:val="nil"/>
          <w:bottom w:val="nil"/>
          <w:right w:val="nil"/>
          <w:between w:val="nil"/>
        </w:pBdr>
        <w:spacing w:before="280" w:after="280" w:line="360" w:lineRule="auto"/>
        <w:ind w:left="720" w:hanging="720"/>
        <w:jc w:val="left"/>
        <w:rPr>
          <w:color w:val="000000"/>
        </w:rPr>
      </w:pPr>
      <w:r w:rsidRPr="006D7497">
        <w:rPr>
          <w:color w:val="000000"/>
          <w:lang w:val="es-EC"/>
        </w:rPr>
        <w:t xml:space="preserve">Alauddin, F. D. A., Aman, A., Ghazali, M. F., &amp; Daud, S. (2024). </w:t>
      </w:r>
      <w:r>
        <w:rPr>
          <w:i/>
          <w:iCs/>
          <w:color w:val="000000"/>
          <w:lang w:val="en-US"/>
        </w:rPr>
        <w:t>The influence of digital platforms on gig workers: A systematic literature review</w:t>
      </w:r>
      <w:r>
        <w:rPr>
          <w:color w:val="000000"/>
          <w:lang w:val="en-US"/>
        </w:rPr>
        <w:t xml:space="preserve">. </w:t>
      </w:r>
      <w:proofErr w:type="spellStart"/>
      <w:r>
        <w:rPr>
          <w:i/>
          <w:iCs/>
          <w:color w:val="000000"/>
        </w:rPr>
        <w:t>Heliyon</w:t>
      </w:r>
      <w:proofErr w:type="spellEnd"/>
      <w:r>
        <w:rPr>
          <w:i/>
          <w:iCs/>
          <w:color w:val="000000"/>
        </w:rPr>
        <w:t>, 10</w:t>
      </w:r>
      <w:r>
        <w:rPr>
          <w:color w:val="000000"/>
        </w:rPr>
        <w:t>(23), e41491. https://doi.org/10.1016/j.heliyon.2024.e41491</w:t>
      </w:r>
    </w:p>
    <w:p w:rsidR="006D7497" w:rsidRPr="003C472A" w:rsidRDefault="006D7497" w:rsidP="006D7497">
      <w:pPr>
        <w:pBdr>
          <w:top w:val="nil"/>
          <w:left w:val="nil"/>
          <w:bottom w:val="nil"/>
          <w:right w:val="nil"/>
          <w:between w:val="nil"/>
        </w:pBdr>
        <w:spacing w:before="280" w:after="280" w:line="360" w:lineRule="auto"/>
        <w:ind w:left="720" w:hanging="720"/>
        <w:jc w:val="left"/>
        <w:rPr>
          <w:color w:val="000000"/>
          <w:lang w:val="en-US"/>
        </w:rPr>
      </w:pPr>
      <w:proofErr w:type="spellStart"/>
      <w:r>
        <w:rPr>
          <w:color w:val="000000"/>
        </w:rPr>
        <w:t>DataReportal</w:t>
      </w:r>
      <w:proofErr w:type="spellEnd"/>
      <w:r>
        <w:rPr>
          <w:color w:val="000000"/>
        </w:rPr>
        <w:t xml:space="preserve">. (2026). </w:t>
      </w:r>
      <w:r>
        <w:rPr>
          <w:i/>
          <w:iCs/>
          <w:color w:val="000000"/>
        </w:rPr>
        <w:t>Digital 2026: Ecuador</w:t>
      </w:r>
      <w:r>
        <w:rPr>
          <w:color w:val="000000"/>
        </w:rPr>
        <w:t xml:space="preserve">. </w:t>
      </w:r>
      <w:hyperlink r:id="rId9">
        <w:r>
          <w:rPr>
            <w:color w:val="0000FF"/>
            <w:u w:val="single"/>
            <w:lang w:val="en-US"/>
          </w:rPr>
          <w:t>https://datareportal.com/reports/digital-2026-ecuador</w:t>
        </w:r>
      </w:hyperlink>
    </w:p>
    <w:p w:rsidR="006D7497" w:rsidRPr="003C472A" w:rsidRDefault="006D7497" w:rsidP="006D7497">
      <w:pPr>
        <w:pBdr>
          <w:top w:val="nil"/>
          <w:left w:val="nil"/>
          <w:bottom w:val="nil"/>
          <w:right w:val="nil"/>
          <w:between w:val="nil"/>
        </w:pBdr>
        <w:spacing w:before="280" w:after="280" w:line="360" w:lineRule="auto"/>
        <w:ind w:left="720" w:hanging="720"/>
        <w:jc w:val="left"/>
        <w:rPr>
          <w:color w:val="000000"/>
          <w:lang w:val="en-US"/>
        </w:rPr>
      </w:pPr>
      <w:proofErr w:type="spellStart"/>
      <w:r>
        <w:rPr>
          <w:color w:val="000000"/>
          <w:lang w:val="en-US"/>
        </w:rPr>
        <w:lastRenderedPageBreak/>
        <w:t>Dedema</w:t>
      </w:r>
      <w:proofErr w:type="spellEnd"/>
      <w:r>
        <w:rPr>
          <w:color w:val="000000"/>
          <w:lang w:val="en-US"/>
        </w:rPr>
        <w:t xml:space="preserve">, M., &amp; Rosenbaum, H. (2024). </w:t>
      </w:r>
      <w:r>
        <w:rPr>
          <w:i/>
          <w:iCs/>
          <w:color w:val="000000"/>
          <w:lang w:val="en-US"/>
        </w:rPr>
        <w:t>Socio-technical issues in the platform-mediated gig economy: A systematic literature review</w:t>
      </w:r>
      <w:r>
        <w:rPr>
          <w:color w:val="000000"/>
          <w:lang w:val="en-US"/>
        </w:rPr>
        <w:t xml:space="preserve">. </w:t>
      </w:r>
      <w:r>
        <w:rPr>
          <w:i/>
          <w:iCs/>
          <w:color w:val="000000"/>
          <w:lang w:val="en-US"/>
        </w:rPr>
        <w:t>Journal of the Association for Information Science and Technology, 75</w:t>
      </w:r>
      <w:r>
        <w:rPr>
          <w:color w:val="000000"/>
          <w:lang w:val="en-US"/>
        </w:rPr>
        <w:t xml:space="preserve">(3), 344–374. </w:t>
      </w:r>
      <w:hyperlink r:id="rId10">
        <w:r>
          <w:rPr>
            <w:color w:val="0000FF"/>
            <w:u w:val="single"/>
            <w:lang w:val="en-US"/>
          </w:rPr>
          <w:t>https://doi.org/10.1002/asi.24868</w:t>
        </w:r>
      </w:hyperlink>
    </w:p>
    <w:p w:rsidR="006D7497" w:rsidRPr="003C472A" w:rsidRDefault="006D7497" w:rsidP="006D7497">
      <w:pPr>
        <w:pBdr>
          <w:top w:val="nil"/>
          <w:left w:val="nil"/>
          <w:bottom w:val="nil"/>
          <w:right w:val="nil"/>
          <w:between w:val="nil"/>
        </w:pBdr>
        <w:spacing w:before="280" w:after="280" w:line="360" w:lineRule="auto"/>
        <w:ind w:left="720" w:hanging="720"/>
        <w:jc w:val="left"/>
        <w:rPr>
          <w:color w:val="000000"/>
          <w:lang w:val="en-US"/>
        </w:rPr>
      </w:pPr>
      <w:r>
        <w:rPr>
          <w:color w:val="000000"/>
        </w:rPr>
        <w:t xml:space="preserve">Hernández </w:t>
      </w:r>
      <w:proofErr w:type="spellStart"/>
      <w:r>
        <w:rPr>
          <w:color w:val="000000"/>
        </w:rPr>
        <w:t>Olcina</w:t>
      </w:r>
      <w:proofErr w:type="spellEnd"/>
      <w:r>
        <w:rPr>
          <w:color w:val="000000"/>
        </w:rPr>
        <w:t xml:space="preserve">, J., </w:t>
      </w:r>
      <w:proofErr w:type="spellStart"/>
      <w:r>
        <w:rPr>
          <w:color w:val="000000"/>
        </w:rPr>
        <w:t>Anquela</w:t>
      </w:r>
      <w:proofErr w:type="spellEnd"/>
      <w:r>
        <w:rPr>
          <w:color w:val="000000"/>
        </w:rPr>
        <w:t xml:space="preserve"> Julián, A., &amp; Martín </w:t>
      </w:r>
      <w:proofErr w:type="spellStart"/>
      <w:r>
        <w:rPr>
          <w:color w:val="000000"/>
        </w:rPr>
        <w:t>Furones</w:t>
      </w:r>
      <w:proofErr w:type="spellEnd"/>
      <w:r>
        <w:rPr>
          <w:color w:val="000000"/>
        </w:rPr>
        <w:t xml:space="preserve">, Á. (2024). </w:t>
      </w:r>
      <w:r>
        <w:rPr>
          <w:i/>
          <w:iCs/>
          <w:color w:val="000000"/>
          <w:lang w:val="en-US"/>
        </w:rPr>
        <w:t>Real-time cloud computing of GNSS measurements from smartphones</w:t>
      </w:r>
      <w:r>
        <w:rPr>
          <w:color w:val="000000"/>
          <w:lang w:val="en-US"/>
        </w:rPr>
        <w:t xml:space="preserve">. </w:t>
      </w:r>
      <w:r>
        <w:rPr>
          <w:i/>
          <w:iCs/>
          <w:color w:val="000000"/>
          <w:lang w:val="en-US"/>
        </w:rPr>
        <w:t>GPS Solutions, 28</w:t>
      </w:r>
      <w:r>
        <w:rPr>
          <w:color w:val="000000"/>
          <w:lang w:val="en-US"/>
        </w:rPr>
        <w:t>, Article 167. https://doi.org/10.1007/s10291-024-01705-8</w:t>
      </w:r>
    </w:p>
    <w:p w:rsidR="006D7497" w:rsidRDefault="006D7497" w:rsidP="006D7497">
      <w:pPr>
        <w:pBdr>
          <w:top w:val="nil"/>
          <w:left w:val="nil"/>
          <w:bottom w:val="nil"/>
          <w:right w:val="nil"/>
          <w:between w:val="nil"/>
        </w:pBdr>
        <w:spacing w:before="280" w:after="280" w:line="360" w:lineRule="auto"/>
        <w:ind w:left="720" w:hanging="720"/>
        <w:jc w:val="left"/>
        <w:rPr>
          <w:color w:val="000000"/>
        </w:rPr>
      </w:pPr>
      <w:r>
        <w:rPr>
          <w:color w:val="000000"/>
        </w:rPr>
        <w:t xml:space="preserve">Hernández-Sampieri, R., &amp; Mendoza, C. (2018). </w:t>
      </w:r>
      <w:r>
        <w:rPr>
          <w:i/>
          <w:iCs/>
          <w:color w:val="000000"/>
        </w:rPr>
        <w:t>Metodología de la investigación: Las rutas cuantitativa, cualitativa y mixta</w:t>
      </w:r>
      <w:r>
        <w:rPr>
          <w:color w:val="000000"/>
        </w:rPr>
        <w:t>. McGraw-Hill Interamericana.</w:t>
      </w:r>
    </w:p>
    <w:p w:rsidR="006D7497" w:rsidRDefault="006D7497" w:rsidP="006D7497">
      <w:pPr>
        <w:pBdr>
          <w:top w:val="nil"/>
          <w:left w:val="nil"/>
          <w:bottom w:val="nil"/>
          <w:right w:val="nil"/>
          <w:between w:val="nil"/>
        </w:pBdr>
        <w:spacing w:before="280" w:after="280" w:line="360" w:lineRule="auto"/>
        <w:ind w:left="720" w:hanging="720"/>
        <w:jc w:val="left"/>
        <w:rPr>
          <w:color w:val="000000"/>
        </w:rPr>
      </w:pPr>
      <w:r>
        <w:rPr>
          <w:color w:val="000000"/>
        </w:rPr>
        <w:t xml:space="preserve">Instituto Nacional de Estadística y Censos. (2022a). </w:t>
      </w:r>
      <w:r>
        <w:rPr>
          <w:i/>
          <w:iCs/>
          <w:color w:val="000000"/>
        </w:rPr>
        <w:t>Censo de población y vivienda 2022</w:t>
      </w:r>
      <w:r>
        <w:rPr>
          <w:color w:val="000000"/>
        </w:rPr>
        <w:t xml:space="preserve">. </w:t>
      </w:r>
      <w:hyperlink r:id="rId11">
        <w:r>
          <w:rPr>
            <w:color w:val="0000FF"/>
            <w:u w:val="single"/>
          </w:rPr>
          <w:t>https://www.ecuadorencifras.gob.ec</w:t>
        </w:r>
      </w:hyperlink>
    </w:p>
    <w:p w:rsidR="006D7497" w:rsidRDefault="006D7497" w:rsidP="006D7497">
      <w:pPr>
        <w:pBdr>
          <w:top w:val="nil"/>
          <w:left w:val="nil"/>
          <w:bottom w:val="nil"/>
          <w:right w:val="nil"/>
          <w:between w:val="nil"/>
        </w:pBdr>
        <w:spacing w:before="280" w:after="280" w:line="360" w:lineRule="auto"/>
        <w:ind w:left="720" w:hanging="720"/>
        <w:jc w:val="left"/>
        <w:rPr>
          <w:color w:val="000000"/>
        </w:rPr>
      </w:pPr>
      <w:r>
        <w:rPr>
          <w:color w:val="000000"/>
        </w:rPr>
        <w:t xml:space="preserve">Instituto Nacional de Estadística y Censos. (2022b). </w:t>
      </w:r>
      <w:r>
        <w:rPr>
          <w:i/>
          <w:iCs/>
          <w:color w:val="000000"/>
        </w:rPr>
        <w:t>Boletín técnico anual: Encuesta Nacional de Empleo, Desempleo y Subempleo (ENEMDU), enero-diciembre 2022</w:t>
      </w:r>
      <w:r>
        <w:rPr>
          <w:color w:val="000000"/>
        </w:rPr>
        <w:t xml:space="preserve">. </w:t>
      </w:r>
      <w:hyperlink r:id="rId12">
        <w:r>
          <w:rPr>
            <w:color w:val="0000FF"/>
            <w:u w:val="single"/>
          </w:rPr>
          <w:t>https://www.ecuadorencifras.gob.ec/documentos/web-inec/EMPLEO/2022/Anual/Boletin_tecnico_anual_enero-diciembre_2022.pdf</w:t>
        </w:r>
      </w:hyperlink>
    </w:p>
    <w:p w:rsidR="006D7497" w:rsidRDefault="006D7497" w:rsidP="006D7497">
      <w:pPr>
        <w:pBdr>
          <w:top w:val="nil"/>
          <w:left w:val="nil"/>
          <w:bottom w:val="nil"/>
          <w:right w:val="nil"/>
          <w:between w:val="nil"/>
        </w:pBdr>
        <w:spacing w:before="280" w:after="280" w:line="360" w:lineRule="auto"/>
        <w:ind w:left="720" w:hanging="720"/>
        <w:jc w:val="left"/>
        <w:rPr>
          <w:color w:val="000000"/>
        </w:rPr>
      </w:pPr>
      <w:r>
        <w:rPr>
          <w:color w:val="000000"/>
        </w:rPr>
        <w:t xml:space="preserve">Instituto Nacional de Estadística y Censos. (2025). </w:t>
      </w:r>
      <w:r>
        <w:rPr>
          <w:i/>
          <w:iCs/>
          <w:color w:val="000000"/>
        </w:rPr>
        <w:t>Anuario de Estadísticas de Transporte 2024</w:t>
      </w:r>
      <w:r>
        <w:rPr>
          <w:color w:val="000000"/>
        </w:rPr>
        <w:t xml:space="preserve">. </w:t>
      </w:r>
      <w:hyperlink r:id="rId13">
        <w:r>
          <w:rPr>
            <w:color w:val="0000FF"/>
            <w:u w:val="single"/>
          </w:rPr>
          <w:t>https://www.ecuadorencifras.gob.ec/documentos/web-inec/Estadisticas_Economicas/Estadistica%20de%20Transporte/ESTRA/2024/Principales_Resultados_ESTRA_2024.pdf</w:t>
        </w:r>
      </w:hyperlink>
    </w:p>
    <w:p w:rsidR="006D7497" w:rsidRDefault="006D7497" w:rsidP="006D7497">
      <w:pPr>
        <w:pBdr>
          <w:top w:val="nil"/>
          <w:left w:val="nil"/>
          <w:bottom w:val="nil"/>
          <w:right w:val="nil"/>
          <w:between w:val="nil"/>
        </w:pBdr>
        <w:spacing w:before="280" w:after="280" w:line="360" w:lineRule="auto"/>
        <w:ind w:left="720" w:hanging="720"/>
        <w:jc w:val="left"/>
        <w:rPr>
          <w:color w:val="000000"/>
        </w:rPr>
      </w:pPr>
      <w:r>
        <w:rPr>
          <w:color w:val="000000"/>
        </w:rPr>
        <w:t>Ley de Comercio Electrónico, Firmas Electrónicas y Mensajes de Datos, Registro Oficial Suplemento 557 de 17 de abril de 2002 (Ecuador).</w:t>
      </w:r>
    </w:p>
    <w:p w:rsidR="006D7497" w:rsidRPr="003C472A" w:rsidRDefault="006D7497" w:rsidP="006D7497">
      <w:pPr>
        <w:pBdr>
          <w:top w:val="nil"/>
          <w:left w:val="nil"/>
          <w:bottom w:val="nil"/>
          <w:right w:val="nil"/>
          <w:between w:val="nil"/>
        </w:pBdr>
        <w:spacing w:before="280" w:after="280" w:line="360" w:lineRule="auto"/>
        <w:ind w:left="720" w:hanging="720"/>
        <w:jc w:val="left"/>
        <w:rPr>
          <w:color w:val="000000"/>
          <w:lang w:val="en-US"/>
        </w:rPr>
      </w:pPr>
      <w:r>
        <w:rPr>
          <w:color w:val="000000"/>
          <w:lang w:val="en-US"/>
        </w:rPr>
        <w:t xml:space="preserve">Martin, R. C. (2017). </w:t>
      </w:r>
      <w:r>
        <w:rPr>
          <w:i/>
          <w:iCs/>
          <w:color w:val="000000"/>
          <w:lang w:val="en-US"/>
        </w:rPr>
        <w:t>Clean architecture: A craftsman’s guide to software structure and design</w:t>
      </w:r>
      <w:r>
        <w:rPr>
          <w:color w:val="000000"/>
          <w:lang w:val="en-US"/>
        </w:rPr>
        <w:t>. Prentice Hall.</w:t>
      </w:r>
    </w:p>
    <w:p w:rsidR="006D7497" w:rsidRPr="003C472A" w:rsidRDefault="006D7497" w:rsidP="006D7497">
      <w:pPr>
        <w:pBdr>
          <w:top w:val="nil"/>
          <w:left w:val="nil"/>
          <w:bottom w:val="nil"/>
          <w:right w:val="nil"/>
          <w:between w:val="nil"/>
        </w:pBdr>
        <w:spacing w:before="280" w:after="280" w:line="360" w:lineRule="auto"/>
        <w:ind w:left="720" w:hanging="720"/>
        <w:jc w:val="left"/>
        <w:rPr>
          <w:color w:val="000000"/>
          <w:lang w:val="en-US"/>
        </w:rPr>
      </w:pPr>
      <w:proofErr w:type="spellStart"/>
      <w:r>
        <w:rPr>
          <w:color w:val="000000"/>
          <w:lang w:val="en-US"/>
        </w:rPr>
        <w:t>Sukhenko</w:t>
      </w:r>
      <w:proofErr w:type="spellEnd"/>
      <w:r>
        <w:rPr>
          <w:color w:val="000000"/>
          <w:lang w:val="en-US"/>
        </w:rPr>
        <w:t xml:space="preserve">, A., </w:t>
      </w:r>
      <w:proofErr w:type="spellStart"/>
      <w:r>
        <w:rPr>
          <w:color w:val="000000"/>
          <w:lang w:val="en-US"/>
        </w:rPr>
        <w:t>Meirambekuly</w:t>
      </w:r>
      <w:proofErr w:type="spellEnd"/>
      <w:r>
        <w:rPr>
          <w:color w:val="000000"/>
          <w:lang w:val="en-US"/>
        </w:rPr>
        <w:t xml:space="preserve">, N., </w:t>
      </w:r>
      <w:proofErr w:type="spellStart"/>
      <w:r>
        <w:rPr>
          <w:color w:val="000000"/>
          <w:lang w:val="en-US"/>
        </w:rPr>
        <w:t>Syzdykov</w:t>
      </w:r>
      <w:proofErr w:type="spellEnd"/>
      <w:r>
        <w:rPr>
          <w:color w:val="000000"/>
          <w:lang w:val="en-US"/>
        </w:rPr>
        <w:t xml:space="preserve">, A., </w:t>
      </w:r>
      <w:proofErr w:type="spellStart"/>
      <w:r>
        <w:rPr>
          <w:color w:val="000000"/>
          <w:lang w:val="en-US"/>
        </w:rPr>
        <w:t>Mukhamedgali</w:t>
      </w:r>
      <w:proofErr w:type="spellEnd"/>
      <w:r>
        <w:rPr>
          <w:color w:val="000000"/>
          <w:lang w:val="en-US"/>
        </w:rPr>
        <w:t xml:space="preserve">, A., &amp; </w:t>
      </w:r>
      <w:proofErr w:type="spellStart"/>
      <w:r>
        <w:rPr>
          <w:color w:val="000000"/>
          <w:lang w:val="en-US"/>
        </w:rPr>
        <w:t>Mellatova</w:t>
      </w:r>
      <w:proofErr w:type="spellEnd"/>
      <w:r>
        <w:rPr>
          <w:color w:val="000000"/>
          <w:lang w:val="en-US"/>
        </w:rPr>
        <w:t xml:space="preserve">, Y. (2025). </w:t>
      </w:r>
      <w:r>
        <w:rPr>
          <w:i/>
          <w:iCs/>
          <w:color w:val="000000"/>
          <w:lang w:val="en-US"/>
        </w:rPr>
        <w:t>GNSS for high-precision and reliable positioning: A review of correction techniques and system architectures</w:t>
      </w:r>
      <w:r>
        <w:rPr>
          <w:color w:val="000000"/>
          <w:lang w:val="en-US"/>
        </w:rPr>
        <w:t xml:space="preserve">. </w:t>
      </w:r>
      <w:r>
        <w:rPr>
          <w:i/>
          <w:iCs/>
          <w:color w:val="000000"/>
          <w:lang w:val="en-US"/>
        </w:rPr>
        <w:t>Applied Sciences, 15</w:t>
      </w:r>
      <w:r>
        <w:rPr>
          <w:color w:val="000000"/>
          <w:lang w:val="en-US"/>
        </w:rPr>
        <w:t xml:space="preserve">(22), Article 12304. </w:t>
      </w:r>
      <w:hyperlink r:id="rId14">
        <w:r>
          <w:rPr>
            <w:color w:val="0000FF"/>
            <w:u w:val="single"/>
            <w:lang w:val="en-US"/>
          </w:rPr>
          <w:t>https://doi.org/10.3390/app152212304</w:t>
        </w:r>
      </w:hyperlink>
    </w:p>
    <w:p w:rsidR="006D7497" w:rsidRPr="003C472A" w:rsidRDefault="006D7497" w:rsidP="006D7497">
      <w:pPr>
        <w:pBdr>
          <w:top w:val="nil"/>
          <w:left w:val="nil"/>
          <w:bottom w:val="nil"/>
          <w:right w:val="nil"/>
          <w:between w:val="nil"/>
        </w:pBdr>
        <w:spacing w:before="280" w:after="280" w:line="360" w:lineRule="auto"/>
        <w:ind w:left="720" w:hanging="720"/>
        <w:jc w:val="left"/>
        <w:rPr>
          <w:color w:val="000000"/>
          <w:lang w:val="en-US"/>
        </w:rPr>
      </w:pPr>
      <w:proofErr w:type="spellStart"/>
      <w:r>
        <w:rPr>
          <w:color w:val="000000"/>
          <w:lang w:val="en-US"/>
        </w:rPr>
        <w:lastRenderedPageBreak/>
        <w:t>Özdal</w:t>
      </w:r>
      <w:proofErr w:type="spellEnd"/>
      <w:r>
        <w:rPr>
          <w:color w:val="000000"/>
          <w:lang w:val="en-US"/>
        </w:rPr>
        <w:t xml:space="preserve"> </w:t>
      </w:r>
      <w:proofErr w:type="spellStart"/>
      <w:r>
        <w:rPr>
          <w:color w:val="000000"/>
          <w:lang w:val="en-US"/>
        </w:rPr>
        <w:t>Oktay</w:t>
      </w:r>
      <w:proofErr w:type="spellEnd"/>
      <w:r>
        <w:rPr>
          <w:color w:val="000000"/>
          <w:lang w:val="en-US"/>
        </w:rPr>
        <w:t xml:space="preserve">, S., </w:t>
      </w:r>
      <w:proofErr w:type="spellStart"/>
      <w:r>
        <w:rPr>
          <w:color w:val="000000"/>
          <w:lang w:val="en-US"/>
        </w:rPr>
        <w:t>Heitmann</w:t>
      </w:r>
      <w:proofErr w:type="spellEnd"/>
      <w:r>
        <w:rPr>
          <w:color w:val="000000"/>
          <w:lang w:val="en-US"/>
        </w:rPr>
        <w:t xml:space="preserve">, S., &amp; Kray, C. (2023). </w:t>
      </w:r>
      <w:r>
        <w:rPr>
          <w:i/>
          <w:iCs/>
          <w:color w:val="000000"/>
          <w:lang w:val="en-US"/>
        </w:rPr>
        <w:t>Linking location privacy, digital sovereignty and location-based services: A meta review</w:t>
      </w:r>
      <w:r>
        <w:rPr>
          <w:color w:val="000000"/>
          <w:lang w:val="en-US"/>
        </w:rPr>
        <w:t xml:space="preserve">. </w:t>
      </w:r>
      <w:r>
        <w:rPr>
          <w:i/>
          <w:iCs/>
          <w:color w:val="000000"/>
          <w:lang w:val="en-US"/>
        </w:rPr>
        <w:t>Journal of Location Based Services, 18</w:t>
      </w:r>
      <w:r>
        <w:rPr>
          <w:color w:val="000000"/>
          <w:lang w:val="en-US"/>
        </w:rPr>
        <w:t>(1), 1–32. https://doi.org/10.1080/17489725.2023.2245678</w:t>
      </w:r>
    </w:p>
    <w:p w:rsidR="006D7497" w:rsidRPr="003C472A" w:rsidRDefault="006D7497" w:rsidP="006D7497">
      <w:pPr>
        <w:pBdr>
          <w:top w:val="nil"/>
          <w:left w:val="nil"/>
          <w:bottom w:val="nil"/>
          <w:right w:val="nil"/>
          <w:between w:val="nil"/>
        </w:pBdr>
        <w:spacing w:before="280" w:after="280" w:line="360" w:lineRule="auto"/>
        <w:ind w:left="720" w:hanging="720"/>
        <w:jc w:val="left"/>
        <w:rPr>
          <w:color w:val="000000"/>
          <w:lang w:val="en-US"/>
        </w:rPr>
      </w:pPr>
      <w:r>
        <w:rPr>
          <w:color w:val="000000"/>
          <w:lang w:val="en-US"/>
        </w:rPr>
        <w:t xml:space="preserve">República del Ecuador. </w:t>
      </w:r>
      <w:r>
        <w:rPr>
          <w:color w:val="000000"/>
        </w:rPr>
        <w:t xml:space="preserve">(2008). </w:t>
      </w:r>
      <w:r>
        <w:rPr>
          <w:i/>
          <w:iCs/>
          <w:color w:val="000000"/>
        </w:rPr>
        <w:t>Constitución de la República del Ecuador</w:t>
      </w:r>
      <w:r>
        <w:rPr>
          <w:color w:val="000000"/>
        </w:rPr>
        <w:t xml:space="preserve">. </w:t>
      </w:r>
      <w:proofErr w:type="spellStart"/>
      <w:r>
        <w:rPr>
          <w:color w:val="000000"/>
          <w:lang w:val="en-US"/>
        </w:rPr>
        <w:t>Registro</w:t>
      </w:r>
      <w:proofErr w:type="spellEnd"/>
      <w:r>
        <w:rPr>
          <w:color w:val="000000"/>
          <w:lang w:val="en-US"/>
        </w:rPr>
        <w:t xml:space="preserve"> </w:t>
      </w:r>
      <w:proofErr w:type="spellStart"/>
      <w:r>
        <w:rPr>
          <w:color w:val="000000"/>
          <w:lang w:val="en-US"/>
        </w:rPr>
        <w:t>Oficial</w:t>
      </w:r>
      <w:proofErr w:type="spellEnd"/>
      <w:r>
        <w:rPr>
          <w:color w:val="000000"/>
          <w:lang w:val="en-US"/>
        </w:rPr>
        <w:t xml:space="preserve"> No. 449.</w:t>
      </w:r>
    </w:p>
    <w:p w:rsidR="006D7497" w:rsidRPr="003C472A" w:rsidRDefault="006D7497" w:rsidP="006D7497">
      <w:pPr>
        <w:pBdr>
          <w:top w:val="nil"/>
          <w:left w:val="nil"/>
          <w:bottom w:val="nil"/>
          <w:right w:val="nil"/>
          <w:between w:val="nil"/>
        </w:pBdr>
        <w:spacing w:before="280" w:after="280" w:line="360" w:lineRule="auto"/>
        <w:ind w:left="720" w:hanging="720"/>
        <w:jc w:val="left"/>
        <w:rPr>
          <w:color w:val="000000"/>
          <w:lang w:val="en-US"/>
        </w:rPr>
      </w:pPr>
      <w:proofErr w:type="spellStart"/>
      <w:r>
        <w:rPr>
          <w:color w:val="000000"/>
          <w:lang w:val="en-US"/>
        </w:rPr>
        <w:t>Schwaber</w:t>
      </w:r>
      <w:proofErr w:type="spellEnd"/>
      <w:r>
        <w:rPr>
          <w:color w:val="000000"/>
          <w:lang w:val="en-US"/>
        </w:rPr>
        <w:t xml:space="preserve">, K., &amp; Sutherland, J. (2020). </w:t>
      </w:r>
      <w:r>
        <w:rPr>
          <w:i/>
          <w:iCs/>
          <w:color w:val="000000"/>
          <w:lang w:val="en-US"/>
        </w:rPr>
        <w:t>The Scrum guide: The definitive guide to Scrum: The rules of the game</w:t>
      </w:r>
      <w:r>
        <w:rPr>
          <w:color w:val="000000"/>
          <w:lang w:val="en-US"/>
        </w:rPr>
        <w:t>. https://scrumguides.org/scrum-guide.html</w:t>
      </w:r>
    </w:p>
    <w:p w:rsidR="006D7497" w:rsidRPr="003C472A" w:rsidRDefault="006D7497" w:rsidP="006D7497">
      <w:pPr>
        <w:spacing w:line="360" w:lineRule="auto"/>
        <w:rPr>
          <w:b/>
          <w:bCs/>
          <w:lang w:val="en-US"/>
        </w:rPr>
      </w:pPr>
    </w:p>
    <w:p w:rsidR="006D7497" w:rsidRPr="003C472A" w:rsidRDefault="006D7497" w:rsidP="006D7497">
      <w:pPr>
        <w:spacing w:line="360" w:lineRule="auto"/>
        <w:rPr>
          <w:lang w:val="en-US"/>
        </w:rPr>
      </w:pPr>
    </w:p>
    <w:p w:rsidR="006D7497" w:rsidRPr="003C472A" w:rsidRDefault="006D7497" w:rsidP="006D7497">
      <w:pPr>
        <w:spacing w:line="360" w:lineRule="auto"/>
        <w:rPr>
          <w:lang w:val="en-US"/>
        </w:rPr>
      </w:pPr>
      <w:bookmarkStart w:id="7" w:name="_heading=h.lya1lnn5d4pk" w:colFirst="0" w:colLast="0"/>
      <w:bookmarkEnd w:id="7"/>
    </w:p>
    <w:p w:rsidR="006D7497" w:rsidRPr="003C472A" w:rsidRDefault="006D7497" w:rsidP="006D7497">
      <w:pPr>
        <w:spacing w:line="360" w:lineRule="auto"/>
        <w:rPr>
          <w:lang w:val="en-US"/>
        </w:rPr>
      </w:pPr>
      <w:bookmarkStart w:id="8" w:name="_heading=h.yvkyv81ik579" w:colFirst="0" w:colLast="0"/>
      <w:bookmarkEnd w:id="8"/>
    </w:p>
    <w:p w:rsidR="006D7497" w:rsidRPr="003C472A" w:rsidRDefault="006D7497" w:rsidP="006D7497">
      <w:pPr>
        <w:spacing w:line="360" w:lineRule="auto"/>
        <w:rPr>
          <w:lang w:val="en-US"/>
        </w:rPr>
      </w:pPr>
      <w:bookmarkStart w:id="9" w:name="_heading=h.7no74ji2a9i2" w:colFirst="0" w:colLast="0"/>
      <w:bookmarkEnd w:id="9"/>
    </w:p>
    <w:p w:rsidR="006D7497" w:rsidRPr="003C472A" w:rsidRDefault="006D7497" w:rsidP="006D7497">
      <w:pPr>
        <w:spacing w:line="360" w:lineRule="auto"/>
        <w:rPr>
          <w:lang w:val="en-US"/>
        </w:rPr>
      </w:pPr>
      <w:bookmarkStart w:id="10" w:name="_heading=h.rqbacdu4wrxb" w:colFirst="0" w:colLast="0"/>
      <w:bookmarkEnd w:id="10"/>
    </w:p>
    <w:p w:rsidR="00000B37" w:rsidRPr="006D7497" w:rsidRDefault="00000B37">
      <w:pPr>
        <w:rPr>
          <w:lang w:val="en-US"/>
        </w:rPr>
      </w:pPr>
    </w:p>
    <w:sectPr w:rsidR="00000B37" w:rsidRPr="006D74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97"/>
    <w:rsid w:val="00000B37"/>
    <w:rsid w:val="006D7497"/>
    <w:rsid w:val="007350ED"/>
    <w:rsid w:val="00DA71DC"/>
    <w:rsid w:val="00E0103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1271041-DCB7-DE4B-A2F4-20EB3B09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497"/>
    <w:pPr>
      <w:spacing w:after="160" w:line="259" w:lineRule="auto"/>
      <w:jc w:val="both"/>
    </w:pPr>
    <w:rPr>
      <w:rFonts w:ascii="Times New Roman" w:eastAsia="Times New Roman" w:hAnsi="Times New Roman" w:cs="Times New Roman"/>
      <w:kern w:val="0"/>
      <w:lang w:val="es" w:eastAsia="es-MX"/>
      <w14:ligatures w14:val="none"/>
    </w:rPr>
  </w:style>
  <w:style w:type="paragraph" w:styleId="Ttulo1">
    <w:name w:val="heading 1"/>
    <w:basedOn w:val="Normal"/>
    <w:next w:val="Normal"/>
    <w:link w:val="Ttulo1Car"/>
    <w:uiPriority w:val="9"/>
    <w:qFormat/>
    <w:rsid w:val="006D7497"/>
    <w:pPr>
      <w:keepNext/>
      <w:keepLines/>
      <w:spacing w:before="240" w:after="0"/>
      <w:jc w:val="cente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7497"/>
    <w:rPr>
      <w:rFonts w:ascii="Times New Roman" w:eastAsia="Times New Roman" w:hAnsi="Times New Roman" w:cs="Times New Roman"/>
      <w:b/>
      <w:bCs/>
      <w:kern w:val="0"/>
      <w:lang w:val="es"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0-3760-4279" TargetMode="External"/><Relationship Id="rId13" Type="http://schemas.openxmlformats.org/officeDocument/2006/relationships/hyperlink" Target="https://www.ecuadorencifras.gob.ec/documentos/web-inec/Estadisticas_Economicas/Estadistica%20de%20Transporte/ESTRA/2024/Principales_Resultados_ESTRA_2024.pdf" TargetMode="External"/><Relationship Id="rId3" Type="http://schemas.openxmlformats.org/officeDocument/2006/relationships/webSettings" Target="webSettings.xml"/><Relationship Id="rId7" Type="http://schemas.openxmlformats.org/officeDocument/2006/relationships/hyperlink" Target="http://eduardoac60uniandes.edu.ec" TargetMode="External"/><Relationship Id="rId12" Type="http://schemas.openxmlformats.org/officeDocument/2006/relationships/hyperlink" Target="https://www.ecuadorencifras.gob.ec/documentos/web-inec/EMPLEO/2022/Anual/Boletin_tecnico_anual_enero-diciembre_2022.pdf"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cid.org/0009-0000-6061-3640" TargetMode="External"/><Relationship Id="rId11" Type="http://schemas.openxmlformats.org/officeDocument/2006/relationships/hyperlink" Target="https://www.ecuadorencifras.gob.ec" TargetMode="External"/><Relationship Id="rId5" Type="http://schemas.openxmlformats.org/officeDocument/2006/relationships/hyperlink" Target="https://orcid.org/0009-0000-6061-3640" TargetMode="External"/><Relationship Id="rId15" Type="http://schemas.openxmlformats.org/officeDocument/2006/relationships/fontTable" Target="fontTable.xml"/><Relationship Id="rId10" Type="http://schemas.openxmlformats.org/officeDocument/2006/relationships/hyperlink" Target="https://doi.org/10.1002/asi.24868" TargetMode="External"/><Relationship Id="rId4" Type="http://schemas.openxmlformats.org/officeDocument/2006/relationships/hyperlink" Target="mailto:deboramc92@uniandes.edu.ec" TargetMode="External"/><Relationship Id="rId9" Type="http://schemas.openxmlformats.org/officeDocument/2006/relationships/hyperlink" Target="https://datareportal.com/reports/digital-2026-ecuador" TargetMode="External"/><Relationship Id="rId14" Type="http://schemas.openxmlformats.org/officeDocument/2006/relationships/hyperlink" Target="https://doi.org/10.3390/app15221230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2932</Words>
  <Characters>16127</Characters>
  <Application>Microsoft Office Word</Application>
  <DocSecurity>0</DocSecurity>
  <Lines>134</Lines>
  <Paragraphs>38</Paragraphs>
  <ScaleCrop>false</ScaleCrop>
  <Company/>
  <LinksUpToDate>false</LinksUpToDate>
  <CharactersWithSpaces>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 Mera</dc:creator>
  <cp:keywords/>
  <dc:description/>
  <cp:lastModifiedBy>Ely Mera</cp:lastModifiedBy>
  <cp:revision>1</cp:revision>
  <dcterms:created xsi:type="dcterms:W3CDTF">2026-08-02T15:14:00Z</dcterms:created>
  <dcterms:modified xsi:type="dcterms:W3CDTF">2026-08-02T15:15:00Z</dcterms:modified>
</cp:coreProperties>
</file>