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51F2" w:rsidRDefault="006451F2" w:rsidP="006451F2">
      <w:pPr>
        <w:pStyle w:val="NormalWeb"/>
      </w:pPr>
      <w:bookmarkStart w:id="0" w:name="_GoBack"/>
      <w:bookmarkEnd w:id="0"/>
      <w:r>
        <w:rPr>
          <w:b/>
          <w:bCs/>
        </w:rPr>
        <w:t>TITLE:</w:t>
      </w:r>
      <w:r>
        <w:t xml:space="preserve"> </w:t>
      </w:r>
      <w:r>
        <w:rPr>
          <w:b/>
          <w:bCs/>
        </w:rPr>
        <w:t>Computational Design of a Novel PROTAC Linker Strategy Targeting the KRAS G12C "Undruggable" Pocket via Dynamic Spherical Scanning</w:t>
      </w:r>
    </w:p>
    <w:p w:rsidR="006451F2" w:rsidRDefault="006451F2" w:rsidP="006451F2">
      <w:pPr>
        <w:pStyle w:val="NormalWeb"/>
      </w:pPr>
      <w:r>
        <w:rPr>
          <w:b/>
          <w:bCs/>
        </w:rPr>
        <w:t>ABSTRACT</w:t>
      </w:r>
    </w:p>
    <w:p w:rsidR="006451F2" w:rsidRDefault="006451F2" w:rsidP="006451F2">
      <w:pPr>
        <w:pStyle w:val="NormalWeb"/>
      </w:pPr>
      <w:r>
        <w:rPr>
          <w:b/>
          <w:bCs/>
        </w:rPr>
        <w:t>Background:</w:t>
      </w:r>
      <w:r>
        <w:t xml:space="preserve"> The KRAS oncoprotein, specifically the G12C mutant, has historically been considered "undruggable" due to its lack of deep hydrophobic pockets and high affinity for GTP. While covalent inhibitors like </w:t>
      </w:r>
      <w:proofErr w:type="spellStart"/>
      <w:r>
        <w:t>Sotorasib</w:t>
      </w:r>
      <w:proofErr w:type="spellEnd"/>
      <w:r>
        <w:t xml:space="preserve"> trap KRAS in an inactive state, they do not eliminate the protein, leading to adaptive resistance. Targeted Protein Degradation (TPD) using Proteolysis Targeting Chimeras (PROTACs) offers a superior alternative by inducing the catalytic degradation of KRAS. However, identifying viable exit vectors for linker attachment remains a critical structural challenge.</w:t>
      </w:r>
    </w:p>
    <w:p w:rsidR="006451F2" w:rsidRDefault="006451F2" w:rsidP="006451F2">
      <w:pPr>
        <w:pStyle w:val="NormalWeb"/>
      </w:pPr>
      <w:r>
        <w:rPr>
          <w:b/>
          <w:bCs/>
        </w:rPr>
        <w:t>Methods:</w:t>
      </w:r>
      <w:r>
        <w:t xml:space="preserve"> We developed a proprietary </w:t>
      </w:r>
      <w:r>
        <w:rPr>
          <w:i/>
          <w:iCs/>
        </w:rPr>
        <w:t>in silico</w:t>
      </w:r>
      <w:r>
        <w:t xml:space="preserve"> framework ("The Universal Killer Algorithm") utilizing Python-based structural biology libraries. The algorithm employs a "Smart Jiggle" Monte Carlo simulation to analyze the crystal structure of KRAS G12C (PDB ID: 6OIM). We performed a 360-degree spherical scan of the protein surface relative to the Cysteine-12 residue to identify cryptic hydrophobic tunnels capable of accommodating a chemical linker without steric clash.</w:t>
      </w:r>
    </w:p>
    <w:p w:rsidR="006451F2" w:rsidRDefault="006451F2" w:rsidP="006451F2">
      <w:pPr>
        <w:pStyle w:val="NormalWeb"/>
      </w:pPr>
      <w:r>
        <w:rPr>
          <w:b/>
          <w:bCs/>
        </w:rPr>
        <w:t>Results:</w:t>
      </w:r>
      <w:r>
        <w:t xml:space="preserve"> Our computational analysis identified a previously underutilized exit vector within the Switch-II pocket of KRAS G12C.</w:t>
      </w:r>
    </w:p>
    <w:p w:rsidR="006451F2" w:rsidRDefault="006451F2" w:rsidP="006451F2">
      <w:pPr>
        <w:pStyle w:val="NormalWeb"/>
        <w:numPr>
          <w:ilvl w:val="0"/>
          <w:numId w:val="1"/>
        </w:numPr>
      </w:pPr>
      <w:r>
        <w:rPr>
          <w:b/>
          <w:bCs/>
        </w:rPr>
        <w:t>Vulnerability Coordinates:</w:t>
      </w:r>
      <w:r>
        <w:t xml:space="preserve"> The entry point was localized at coordinates X: 4.93, Y: -3.75, Z: 10.28.</w:t>
      </w:r>
    </w:p>
    <w:p w:rsidR="006451F2" w:rsidRDefault="006451F2" w:rsidP="006451F2">
      <w:pPr>
        <w:pStyle w:val="NormalWeb"/>
        <w:numPr>
          <w:ilvl w:val="0"/>
          <w:numId w:val="1"/>
        </w:numPr>
      </w:pPr>
      <w:r>
        <w:rPr>
          <w:b/>
          <w:bCs/>
        </w:rPr>
        <w:t>Linker Trajectory:</w:t>
      </w:r>
      <w:r>
        <w:t xml:space="preserve"> The simulation revealed a collision-free tunnel extending </w:t>
      </w:r>
      <w:r>
        <w:rPr>
          <w:b/>
          <w:bCs/>
        </w:rPr>
        <w:t>24 Å</w:t>
      </w:r>
      <w:r>
        <w:t xml:space="preserve"> from the C12 binding site to the solvent-exposed surface.</w:t>
      </w:r>
    </w:p>
    <w:p w:rsidR="006451F2" w:rsidRDefault="006451F2" w:rsidP="006451F2">
      <w:pPr>
        <w:pStyle w:val="NormalWeb"/>
        <w:numPr>
          <w:ilvl w:val="0"/>
          <w:numId w:val="1"/>
        </w:numPr>
      </w:pPr>
      <w:r>
        <w:rPr>
          <w:b/>
          <w:bCs/>
        </w:rPr>
        <w:t>Vector Geometry:</w:t>
      </w:r>
      <w:r>
        <w:t xml:space="preserve"> The optimal exit vector was calculated at (0.72, -0.68, 0.11), suggesting the feasibility of a rigidified PEG-alkyl linker design.</w:t>
      </w:r>
    </w:p>
    <w:p w:rsidR="006451F2" w:rsidRDefault="006451F2" w:rsidP="006451F2">
      <w:pPr>
        <w:pStyle w:val="NormalWeb"/>
      </w:pPr>
      <w:r>
        <w:rPr>
          <w:b/>
          <w:bCs/>
        </w:rPr>
        <w:t>Conclusion:</w:t>
      </w:r>
      <w:r>
        <w:t xml:space="preserve"> This study demonstrates the structural feasibility of a KRAS-targeting PROTAC that utilizes the Switch-II pocket as an exit channel. The identified 24 Å path provides a precise blueprint for the synthesis of bivalent molecules capable of recruiting E3 ligases (such as VHL) to the KRAS G12C mutant. These findings support the transition from occupancy-based inhibition to event-driven protein degradation in the treatment of pancreatic and non-small cell lung cancers.</w:t>
      </w:r>
    </w:p>
    <w:p w:rsidR="006451F2" w:rsidRDefault="006451F2" w:rsidP="006451F2">
      <w:pPr>
        <w:pStyle w:val="NormalWeb"/>
      </w:pPr>
      <w:r>
        <w:rPr>
          <w:b/>
          <w:bCs/>
        </w:rPr>
        <w:t>Keywords:</w:t>
      </w:r>
      <w:r>
        <w:t xml:space="preserve"> KRAS G12C, PROTAC, Targeted Protein Degradation, In Silico Drug Design, Computational Oncology.</w:t>
      </w:r>
    </w:p>
    <w:p w:rsidR="002525B4" w:rsidRDefault="002525B4"/>
    <w:p w:rsidR="006451F2" w:rsidRDefault="006451F2"/>
    <w:p w:rsidR="006451F2" w:rsidRDefault="006451F2"/>
    <w:p w:rsidR="006451F2" w:rsidRDefault="006451F2"/>
    <w:p w:rsidR="006451F2" w:rsidRDefault="006451F2">
      <w:r w:rsidRPr="006451F2">
        <w:rPr>
          <w:noProof/>
        </w:rPr>
        <w:lastRenderedPageBreak/>
        <w:drawing>
          <wp:inline distT="0" distB="0" distL="0" distR="0" wp14:anchorId="5F47F90C" wp14:editId="3510ED76">
            <wp:extent cx="5943600" cy="2962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1F2" w:rsidRDefault="006451F2">
      <w:r w:rsidRPr="006451F2">
        <w:rPr>
          <w:noProof/>
        </w:rPr>
        <w:drawing>
          <wp:inline distT="0" distB="0" distL="0" distR="0" wp14:anchorId="3765B88D" wp14:editId="6C16E837">
            <wp:extent cx="5943600" cy="2826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E2C1C"/>
    <w:multiLevelType w:val="multilevel"/>
    <w:tmpl w:val="AFB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F2"/>
    <w:rsid w:val="002525B4"/>
    <w:rsid w:val="00365B1D"/>
    <w:rsid w:val="006451F2"/>
    <w:rsid w:val="00655A38"/>
    <w:rsid w:val="00730397"/>
    <w:rsid w:val="008F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D5FF69-6F2D-461B-8E56-516B516C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23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EDY</dc:creator>
  <cp:keywords/>
  <dc:description/>
  <cp:lastModifiedBy>EDY</cp:lastModifiedBy>
  <cp:revision>2</cp:revision>
  <dcterms:created xsi:type="dcterms:W3CDTF">2026-01-29T23:02:00Z</dcterms:created>
  <dcterms:modified xsi:type="dcterms:W3CDTF">2026-01-29T23:02:00Z</dcterms:modified>
</cp:coreProperties>
</file>