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CB7CB" w14:textId="77777777" w:rsidR="00C21C26" w:rsidRPr="00C21C26" w:rsidRDefault="00C21C26" w:rsidP="00C21C26">
      <w:pPr>
        <w:spacing w:before="100" w:beforeAutospacing="1" w:after="100" w:afterAutospacing="1" w:line="240" w:lineRule="auto"/>
        <w:rPr>
          <w:rFonts w:ascii="Times New Roman" w:eastAsia="Times New Roman" w:hAnsi="Times New Roman" w:cs="Times New Roman"/>
          <w:sz w:val="24"/>
          <w:szCs w:val="24"/>
        </w:rPr>
      </w:pPr>
      <w:r w:rsidRPr="00C21C26">
        <w:rPr>
          <w:rFonts w:ascii="Times New Roman" w:eastAsia="Times New Roman" w:hAnsi="Times New Roman" w:cs="Times New Roman"/>
          <w:b/>
          <w:bCs/>
          <w:sz w:val="24"/>
          <w:szCs w:val="24"/>
        </w:rPr>
        <w:t>In Silico Identification of PROTAC Linker Exit Vectors for Undruggable Targets (KRAS G12C, p53 Y220C) Using a Monte Carlo-Based Python Algorithm</w:t>
      </w:r>
    </w:p>
    <w:p w14:paraId="3793D531" w14:textId="03BFA730" w:rsidR="00C21C26" w:rsidRPr="00C21C26" w:rsidRDefault="00C21C26" w:rsidP="00C21C26">
      <w:pPr>
        <w:spacing w:before="100" w:beforeAutospacing="1" w:after="100" w:afterAutospacing="1" w:line="240" w:lineRule="auto"/>
        <w:outlineLvl w:val="2"/>
        <w:rPr>
          <w:rFonts w:ascii="Times New Roman" w:eastAsia="Times New Roman" w:hAnsi="Times New Roman" w:cs="Times New Roman"/>
          <w:b/>
          <w:bCs/>
          <w:sz w:val="27"/>
          <w:szCs w:val="27"/>
        </w:rPr>
      </w:pPr>
      <w:r w:rsidRPr="00C21C26">
        <w:rPr>
          <w:rFonts w:ascii="Times New Roman" w:eastAsia="Times New Roman" w:hAnsi="Times New Roman" w:cs="Times New Roman"/>
          <w:b/>
          <w:bCs/>
          <w:sz w:val="27"/>
          <w:szCs w:val="27"/>
        </w:rPr>
        <w:t xml:space="preserve">Abstract </w:t>
      </w:r>
    </w:p>
    <w:p w14:paraId="3D6688C0" w14:textId="77777777" w:rsidR="00C21C26" w:rsidRPr="00C21C26" w:rsidRDefault="00C21C26" w:rsidP="00C21C26">
      <w:pPr>
        <w:spacing w:before="100" w:beforeAutospacing="1" w:after="100" w:afterAutospacing="1" w:line="240" w:lineRule="auto"/>
        <w:ind w:firstLine="720"/>
        <w:jc w:val="both"/>
        <w:rPr>
          <w:rFonts w:ascii="Times New Roman" w:eastAsia="Times New Roman" w:hAnsi="Times New Roman" w:cs="Times New Roman"/>
          <w:sz w:val="24"/>
          <w:szCs w:val="24"/>
        </w:rPr>
      </w:pPr>
      <w:r w:rsidRPr="00C21C26">
        <w:rPr>
          <w:rFonts w:ascii="Times New Roman" w:eastAsia="Times New Roman" w:hAnsi="Times New Roman" w:cs="Times New Roman"/>
          <w:b/>
          <w:bCs/>
          <w:sz w:val="24"/>
          <w:szCs w:val="24"/>
        </w:rPr>
        <w:t>Background:</w:t>
      </w:r>
      <w:r w:rsidRPr="00C21C26">
        <w:rPr>
          <w:rFonts w:ascii="Times New Roman" w:eastAsia="Times New Roman" w:hAnsi="Times New Roman" w:cs="Times New Roman"/>
          <w:sz w:val="24"/>
          <w:szCs w:val="24"/>
        </w:rPr>
        <w:t xml:space="preserve"> Proteolysis-Targeting Chimeras (PROTACs) represent a transformative therapeutic modality, enabling the degradation of traditionally "undruggable" oncoproteins. A critical determinant of PROTAC efficacy is the linker design; specifically, identifying a viable exit vector from the target protein’s binding pocket that avoids steric clashes. Traditional "trial-and-error" synthesis of linkers is resource-intensive. Consequently, there is an unmet need for accessible computational tools that can predict viable linker trajectories prior to chemical synthesis.</w:t>
      </w:r>
    </w:p>
    <w:p w14:paraId="21990053" w14:textId="77777777" w:rsidR="00C21C26" w:rsidRPr="00C21C26" w:rsidRDefault="00C21C26" w:rsidP="00C21C26">
      <w:pPr>
        <w:spacing w:before="100" w:beforeAutospacing="1" w:after="100" w:afterAutospacing="1" w:line="240" w:lineRule="auto"/>
        <w:ind w:firstLine="720"/>
        <w:jc w:val="both"/>
        <w:rPr>
          <w:rFonts w:ascii="Times New Roman" w:eastAsia="Times New Roman" w:hAnsi="Times New Roman" w:cs="Times New Roman"/>
          <w:sz w:val="24"/>
          <w:szCs w:val="24"/>
        </w:rPr>
      </w:pPr>
      <w:r w:rsidRPr="00C21C26">
        <w:rPr>
          <w:rFonts w:ascii="Times New Roman" w:eastAsia="Times New Roman" w:hAnsi="Times New Roman" w:cs="Times New Roman"/>
          <w:b/>
          <w:bCs/>
          <w:sz w:val="24"/>
          <w:szCs w:val="24"/>
        </w:rPr>
        <w:t>Methods:</w:t>
      </w:r>
      <w:r w:rsidRPr="00C21C26">
        <w:rPr>
          <w:rFonts w:ascii="Times New Roman" w:eastAsia="Times New Roman" w:hAnsi="Times New Roman" w:cs="Times New Roman"/>
          <w:sz w:val="24"/>
          <w:szCs w:val="24"/>
        </w:rPr>
        <w:t xml:space="preserve"> We developed an open-source structural biology tool in Python to automate the identification of linker exit paths. The algorithm employs a stochastic Monte Carlo simulation method ("Smart Jiggle") to explore the 3D conformational space surrounding a bound ligand. The software integrates an automated ligand detection module that parses PDB (Protein Data Bank) files, identifies the drug molecule regardless of chemical nomenclature, and generates random vectors from the ligand's center of mass. Each vector is mathematically validated against atomic coordinates to ensure a minimum clearance radius (1.3Å – 2.5Å), simulating the steric feasibility of a linker attachment.</w:t>
      </w:r>
    </w:p>
    <w:p w14:paraId="05AE2A13" w14:textId="77777777" w:rsidR="00C21C26" w:rsidRPr="00C21C26" w:rsidRDefault="00C21C26" w:rsidP="00C21C26">
      <w:pPr>
        <w:spacing w:before="100" w:beforeAutospacing="1" w:after="100" w:afterAutospacing="1" w:line="240" w:lineRule="auto"/>
        <w:ind w:firstLine="720"/>
        <w:jc w:val="both"/>
        <w:rPr>
          <w:rFonts w:ascii="Times New Roman" w:eastAsia="Times New Roman" w:hAnsi="Times New Roman" w:cs="Times New Roman"/>
          <w:sz w:val="24"/>
          <w:szCs w:val="24"/>
        </w:rPr>
      </w:pPr>
      <w:r w:rsidRPr="00C21C26">
        <w:rPr>
          <w:rFonts w:ascii="Times New Roman" w:eastAsia="Times New Roman" w:hAnsi="Times New Roman" w:cs="Times New Roman"/>
          <w:b/>
          <w:bCs/>
          <w:sz w:val="24"/>
          <w:szCs w:val="24"/>
        </w:rPr>
        <w:t>Results:</w:t>
      </w:r>
      <w:r w:rsidRPr="00C21C26">
        <w:rPr>
          <w:rFonts w:ascii="Times New Roman" w:eastAsia="Times New Roman" w:hAnsi="Times New Roman" w:cs="Times New Roman"/>
          <w:sz w:val="24"/>
          <w:szCs w:val="24"/>
        </w:rPr>
        <w:t xml:space="preserve"> The algorithm was validated across a diverse panel of oncological targets. In </w:t>
      </w:r>
      <w:r w:rsidRPr="00C21C26">
        <w:rPr>
          <w:rFonts w:ascii="Times New Roman" w:eastAsia="Times New Roman" w:hAnsi="Times New Roman" w:cs="Times New Roman"/>
          <w:b/>
          <w:bCs/>
          <w:sz w:val="24"/>
          <w:szCs w:val="24"/>
        </w:rPr>
        <w:t>BRD4</w:t>
      </w:r>
      <w:r w:rsidRPr="00C21C26">
        <w:rPr>
          <w:rFonts w:ascii="Times New Roman" w:eastAsia="Times New Roman" w:hAnsi="Times New Roman" w:cs="Times New Roman"/>
          <w:sz w:val="24"/>
          <w:szCs w:val="24"/>
        </w:rPr>
        <w:t xml:space="preserve"> (control), the tool reproduced known exit vectors for the JQ1 ligand. For </w:t>
      </w:r>
      <w:r w:rsidRPr="00C21C26">
        <w:rPr>
          <w:rFonts w:ascii="Times New Roman" w:eastAsia="Times New Roman" w:hAnsi="Times New Roman" w:cs="Times New Roman"/>
          <w:b/>
          <w:bCs/>
          <w:sz w:val="24"/>
          <w:szCs w:val="24"/>
        </w:rPr>
        <w:t>KRAS G12C</w:t>
      </w:r>
      <w:r w:rsidRPr="00C21C26">
        <w:rPr>
          <w:rFonts w:ascii="Times New Roman" w:eastAsia="Times New Roman" w:hAnsi="Times New Roman" w:cs="Times New Roman"/>
          <w:sz w:val="24"/>
          <w:szCs w:val="24"/>
        </w:rPr>
        <w:t xml:space="preserve">, the simulation identified a novel, clash-free trajectory of 24Å extending through the Switch-II pocket, suggesting a feasible path for PROTAC design. Furthermore, the tool successfully navigated the highly restricted surface crevice of the </w:t>
      </w:r>
      <w:r w:rsidRPr="00C21C26">
        <w:rPr>
          <w:rFonts w:ascii="Times New Roman" w:eastAsia="Times New Roman" w:hAnsi="Times New Roman" w:cs="Times New Roman"/>
          <w:b/>
          <w:bCs/>
          <w:sz w:val="24"/>
          <w:szCs w:val="24"/>
        </w:rPr>
        <w:t>p53 Y220C</w:t>
      </w:r>
      <w:r w:rsidRPr="00C21C26">
        <w:rPr>
          <w:rFonts w:ascii="Times New Roman" w:eastAsia="Times New Roman" w:hAnsi="Times New Roman" w:cs="Times New Roman"/>
          <w:sz w:val="24"/>
          <w:szCs w:val="24"/>
        </w:rPr>
        <w:t xml:space="preserve"> mutant, identifying a narrow but viable 1.3Å exit vector. Finally, the "universal" engine was validated on the E3 ligase </w:t>
      </w:r>
      <w:proofErr w:type="spellStart"/>
      <w:r w:rsidRPr="00C21C26">
        <w:rPr>
          <w:rFonts w:ascii="Times New Roman" w:eastAsia="Times New Roman" w:hAnsi="Times New Roman" w:cs="Times New Roman"/>
          <w:b/>
          <w:bCs/>
          <w:sz w:val="24"/>
          <w:szCs w:val="24"/>
        </w:rPr>
        <w:t>Cereblon</w:t>
      </w:r>
      <w:proofErr w:type="spellEnd"/>
      <w:r w:rsidRPr="00C21C26">
        <w:rPr>
          <w:rFonts w:ascii="Times New Roman" w:eastAsia="Times New Roman" w:hAnsi="Times New Roman" w:cs="Times New Roman"/>
          <w:sz w:val="24"/>
          <w:szCs w:val="24"/>
        </w:rPr>
        <w:t>, successfully detecting the ligand automatically and mapping exit paths for the E3-recruiting end of the molecule.</w:t>
      </w:r>
    </w:p>
    <w:p w14:paraId="0590DE0B" w14:textId="6A7D85DF" w:rsidR="00C21C26" w:rsidRDefault="00C21C26" w:rsidP="00C21C26">
      <w:pPr>
        <w:spacing w:before="100" w:beforeAutospacing="1" w:after="100" w:afterAutospacing="1" w:line="240" w:lineRule="auto"/>
        <w:ind w:firstLine="720"/>
        <w:jc w:val="both"/>
        <w:rPr>
          <w:rFonts w:ascii="Times New Roman" w:eastAsia="Times New Roman" w:hAnsi="Times New Roman" w:cs="Times New Roman"/>
          <w:sz w:val="24"/>
          <w:szCs w:val="24"/>
        </w:rPr>
      </w:pPr>
      <w:r w:rsidRPr="00C21C26">
        <w:rPr>
          <w:rFonts w:ascii="Times New Roman" w:eastAsia="Times New Roman" w:hAnsi="Times New Roman" w:cs="Times New Roman"/>
          <w:b/>
          <w:bCs/>
          <w:sz w:val="24"/>
          <w:szCs w:val="24"/>
        </w:rPr>
        <w:t>Conclusion:</w:t>
      </w:r>
      <w:r w:rsidRPr="00C21C26">
        <w:rPr>
          <w:rFonts w:ascii="Times New Roman" w:eastAsia="Times New Roman" w:hAnsi="Times New Roman" w:cs="Times New Roman"/>
          <w:sz w:val="24"/>
          <w:szCs w:val="24"/>
        </w:rPr>
        <w:t xml:space="preserve"> This study demonstrates that simple stochastic modeling can effectively predict viable PROTAC linker vectors, significantly reducing the search space for medicinal chemists. The resulting open-source Python tool provides a rapid, cost-effective </w:t>
      </w:r>
      <w:r w:rsidRPr="00C21C26">
        <w:rPr>
          <w:rFonts w:ascii="Times New Roman" w:eastAsia="Times New Roman" w:hAnsi="Times New Roman" w:cs="Times New Roman"/>
          <w:i/>
          <w:iCs/>
          <w:sz w:val="24"/>
          <w:szCs w:val="24"/>
        </w:rPr>
        <w:t>in silico</w:t>
      </w:r>
      <w:r w:rsidRPr="00C21C26">
        <w:rPr>
          <w:rFonts w:ascii="Times New Roman" w:eastAsia="Times New Roman" w:hAnsi="Times New Roman" w:cs="Times New Roman"/>
          <w:sz w:val="24"/>
          <w:szCs w:val="24"/>
        </w:rPr>
        <w:t xml:space="preserve"> validation step for early-stage drug discovery, democratizing access to structural design tools for academic researchers.</w:t>
      </w:r>
    </w:p>
    <w:p w14:paraId="1B08FC7B" w14:textId="795F5CF8" w:rsidR="00C21C26" w:rsidRDefault="00C21C26" w:rsidP="00C21C26">
      <w:pPr>
        <w:pStyle w:val="Heading3"/>
        <w:ind w:firstLine="720"/>
        <w:rPr>
          <w:b w:val="0"/>
          <w:bCs w:val="0"/>
          <w:sz w:val="24"/>
          <w:szCs w:val="24"/>
        </w:rPr>
      </w:pPr>
      <w:r w:rsidRPr="00C21C26">
        <w:rPr>
          <w:sz w:val="24"/>
          <w:szCs w:val="24"/>
        </w:rPr>
        <w:t>Keywords:</w:t>
      </w:r>
      <w:r>
        <w:rPr>
          <w:sz w:val="24"/>
          <w:szCs w:val="24"/>
        </w:rPr>
        <w:t xml:space="preserve"> </w:t>
      </w:r>
      <w:r w:rsidRPr="00C21C26">
        <w:rPr>
          <w:b w:val="0"/>
          <w:bCs w:val="0"/>
          <w:sz w:val="24"/>
          <w:szCs w:val="24"/>
        </w:rPr>
        <w:t>Bioinformatics, PROTAC, KRAS G12C, Monte Carlo Simulation, Python, Structure-Based Drug Design, Targeted Protein Degradation, p53 Y220C, Linker Design.</w:t>
      </w:r>
    </w:p>
    <w:p w14:paraId="5A7E87C2" w14:textId="432B0C72" w:rsidR="00EE3A3B" w:rsidRDefault="00EE3A3B" w:rsidP="00C21C26">
      <w:pPr>
        <w:pStyle w:val="Heading3"/>
        <w:ind w:firstLine="720"/>
        <w:rPr>
          <w:sz w:val="24"/>
          <w:szCs w:val="24"/>
        </w:rPr>
      </w:pPr>
    </w:p>
    <w:p w14:paraId="65894BA0" w14:textId="5F272DA3" w:rsidR="00EE3A3B" w:rsidRDefault="00EE3A3B" w:rsidP="00C21C26">
      <w:pPr>
        <w:pStyle w:val="Heading3"/>
        <w:ind w:firstLine="720"/>
        <w:rPr>
          <w:sz w:val="24"/>
          <w:szCs w:val="24"/>
        </w:rPr>
      </w:pPr>
    </w:p>
    <w:p w14:paraId="7D0EB15C" w14:textId="37B70CE2" w:rsidR="00EE3A3B" w:rsidRDefault="00EE3A3B" w:rsidP="00C21C26">
      <w:pPr>
        <w:pStyle w:val="Heading3"/>
        <w:ind w:firstLine="720"/>
        <w:rPr>
          <w:sz w:val="24"/>
          <w:szCs w:val="24"/>
        </w:rPr>
      </w:pPr>
    </w:p>
    <w:p w14:paraId="5DD35C41" w14:textId="5E9F62CC" w:rsidR="00EE3A3B" w:rsidRDefault="00EE3A3B" w:rsidP="00C21C26">
      <w:pPr>
        <w:pStyle w:val="Heading3"/>
        <w:ind w:firstLine="720"/>
        <w:rPr>
          <w:sz w:val="24"/>
          <w:szCs w:val="24"/>
        </w:rPr>
      </w:pPr>
      <w:r w:rsidRPr="00EE3A3B">
        <w:rPr>
          <w:sz w:val="24"/>
          <w:szCs w:val="24"/>
        </w:rPr>
        <w:lastRenderedPageBreak/>
        <w:drawing>
          <wp:inline distT="0" distB="0" distL="0" distR="0" wp14:anchorId="4D5C8490" wp14:editId="46FFCE6F">
            <wp:extent cx="5943600" cy="175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755775"/>
                    </a:xfrm>
                    <a:prstGeom prst="rect">
                      <a:avLst/>
                    </a:prstGeom>
                  </pic:spPr>
                </pic:pic>
              </a:graphicData>
            </a:graphic>
          </wp:inline>
        </w:drawing>
      </w:r>
    </w:p>
    <w:p w14:paraId="239E0A39" w14:textId="7F4A5022" w:rsidR="00EE3A3B" w:rsidRDefault="00EE3A3B" w:rsidP="00C21C26">
      <w:pPr>
        <w:pStyle w:val="Heading3"/>
        <w:ind w:firstLine="720"/>
        <w:rPr>
          <w:sz w:val="24"/>
          <w:szCs w:val="24"/>
        </w:rPr>
      </w:pPr>
      <w:r w:rsidRPr="00EE3A3B">
        <w:rPr>
          <w:sz w:val="24"/>
          <w:szCs w:val="24"/>
        </w:rPr>
        <w:drawing>
          <wp:inline distT="0" distB="0" distL="0" distR="0" wp14:anchorId="1C2B994D" wp14:editId="5A796CA8">
            <wp:extent cx="5943600" cy="18065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06575"/>
                    </a:xfrm>
                    <a:prstGeom prst="rect">
                      <a:avLst/>
                    </a:prstGeom>
                  </pic:spPr>
                </pic:pic>
              </a:graphicData>
            </a:graphic>
          </wp:inline>
        </w:drawing>
      </w:r>
    </w:p>
    <w:p w14:paraId="60F116CB" w14:textId="3CE2309E" w:rsidR="00EE3A3B" w:rsidRPr="00C21C26" w:rsidRDefault="00EE3A3B" w:rsidP="00C21C26">
      <w:pPr>
        <w:pStyle w:val="Heading3"/>
        <w:ind w:firstLine="720"/>
        <w:rPr>
          <w:sz w:val="24"/>
          <w:szCs w:val="24"/>
        </w:rPr>
      </w:pPr>
      <w:r w:rsidRPr="00EE3A3B">
        <w:rPr>
          <w:sz w:val="24"/>
          <w:szCs w:val="24"/>
        </w:rPr>
        <w:drawing>
          <wp:inline distT="0" distB="0" distL="0" distR="0" wp14:anchorId="4C6FF464" wp14:editId="56799A59">
            <wp:extent cx="5943600" cy="1798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98955"/>
                    </a:xfrm>
                    <a:prstGeom prst="rect">
                      <a:avLst/>
                    </a:prstGeom>
                  </pic:spPr>
                </pic:pic>
              </a:graphicData>
            </a:graphic>
          </wp:inline>
        </w:drawing>
      </w:r>
      <w:bookmarkStart w:id="0" w:name="_GoBack"/>
      <w:bookmarkEnd w:id="0"/>
    </w:p>
    <w:p w14:paraId="6C85A702" w14:textId="77777777" w:rsidR="00C21C26" w:rsidRPr="00C21C26" w:rsidRDefault="00C21C26" w:rsidP="00C21C26">
      <w:pPr>
        <w:spacing w:before="100" w:beforeAutospacing="1" w:after="100" w:afterAutospacing="1" w:line="240" w:lineRule="auto"/>
        <w:ind w:firstLine="720"/>
        <w:jc w:val="both"/>
        <w:rPr>
          <w:rFonts w:ascii="Times New Roman" w:eastAsia="Times New Roman" w:hAnsi="Times New Roman" w:cs="Times New Roman"/>
          <w:sz w:val="24"/>
          <w:szCs w:val="24"/>
        </w:rPr>
      </w:pPr>
    </w:p>
    <w:p w14:paraId="57ADA7A5" w14:textId="77777777" w:rsidR="004A0459" w:rsidRDefault="004A0459"/>
    <w:sectPr w:rsidR="004A0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87"/>
    <w:rsid w:val="00043487"/>
    <w:rsid w:val="004A0459"/>
    <w:rsid w:val="00C21C26"/>
    <w:rsid w:val="00EE3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2F5E2"/>
  <w15:chartTrackingRefBased/>
  <w15:docId w15:val="{ADD3867A-C719-4063-B1CB-E3C2D82C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21C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1C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1C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8973045">
      <w:bodyDiv w:val="1"/>
      <w:marLeft w:val="0"/>
      <w:marRight w:val="0"/>
      <w:marTop w:val="0"/>
      <w:marBottom w:val="0"/>
      <w:divBdr>
        <w:top w:val="none" w:sz="0" w:space="0" w:color="auto"/>
        <w:left w:val="none" w:sz="0" w:space="0" w:color="auto"/>
        <w:bottom w:val="none" w:sz="0" w:space="0" w:color="auto"/>
        <w:right w:val="none" w:sz="0" w:space="0" w:color="auto"/>
      </w:divBdr>
    </w:div>
    <w:div w:id="214430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dc:creator>
  <cp:keywords/>
  <dc:description/>
  <cp:lastModifiedBy>EDY</cp:lastModifiedBy>
  <cp:revision>3</cp:revision>
  <dcterms:created xsi:type="dcterms:W3CDTF">2026-01-30T09:18:00Z</dcterms:created>
  <dcterms:modified xsi:type="dcterms:W3CDTF">2026-01-30T09:24:00Z</dcterms:modified>
</cp:coreProperties>
</file>