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80" w:line="259" w:lineRule="auto"/>
        <w:jc w:val="left"/>
      </w:pPr>
      <w:r>
        <w:rPr>
          <w:rFonts w:ascii="Calibri" w:hAnsi="Calibri"/>
          <w:b/>
          <w:i w:val="0"/>
          <w:color w:val="2563EB"/>
          <w:sz w:val="20"/>
        </w:rPr>
        <w:t>BUILD-READY DESIGN SPEC</w:t>
      </w:r>
    </w:p>
    <w:p>
      <w:pPr>
        <w:keepNext w:val="0"/>
        <w:spacing w:before="0" w:after="80" w:line="259" w:lineRule="auto"/>
        <w:jc w:val="left"/>
      </w:pPr>
      <w:r>
        <w:rPr>
          <w:rFonts w:ascii="Calibri" w:hAnsi="Calibri"/>
          <w:b/>
          <w:i w:val="0"/>
          <w:color w:val="0F172A"/>
          <w:sz w:val="56"/>
        </w:rPr>
        <w:t>UI/UX</w:t>
      </w:r>
      <w:r>
        <w:br/>
      </w:r>
      <w:r>
        <w:rPr>
          <w:rFonts w:ascii="Calibri" w:hAnsi="Calibri"/>
          <w:b/>
          <w:i w:val="0"/>
          <w:color w:val="0F172A"/>
          <w:sz w:val="56"/>
        </w:rPr>
        <w:t>SPECIFICATION</w:t>
      </w:r>
    </w:p>
    <w:p>
      <w:pPr>
        <w:spacing w:after="360"/>
      </w:pPr>
      <w:r>
        <w:rPr>
          <w:rFonts w:ascii="Calibri" w:hAnsi="Calibri"/>
          <w:b w:val="0"/>
          <w:i/>
          <w:color w:val="2563EB"/>
          <w:sz w:val="28"/>
        </w:rPr>
        <w:t>Analytic &amp; Reporting Dashboard</w:t>
      </w:r>
      <w:r>
        <w:rPr>
          <w:rFonts w:ascii="Calibri" w:hAnsi="Calibri"/>
          <w:b/>
          <w:i w:val="0"/>
          <w:color w:val="475569"/>
          <w:sz w:val="28"/>
        </w:rPr>
        <w:t xml:space="preserve"> Divisi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TUJUAN DOKUMEN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Menentukan apa yang tampil, bagaimana pengguna bergerak, kondisi apa yang harus ditangani, dan standar komponen yang harus konsisten saat membangun aplikasi.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shd w:fill="0F172A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6810"/>
            <w:shd w:fill="0F172A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Keputusan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Cakupan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Seluruh sistem; detail MVP Manager Minimarket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Basis desain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PRD Vibe Coding versi 0.4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Perangkat utama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Desktop/laptop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Ukuran referensi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1440 x 900 px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Gaya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Profesional, modern, bersih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Warna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Netral + aksen biru profesional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Status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Draf untuk prototipe</w:t>
            </w:r>
          </w:p>
        </w:tc>
      </w:tr>
    </w:tbl>
    <w:p>
      <w:pPr>
        <w:spacing w:after="40"/>
      </w:pPr>
    </w:p>
    <w:p>
      <w:pPr>
        <w:keepNext w:val="0"/>
        <w:spacing w:before="160" w:after="100" w:line="259" w:lineRule="auto"/>
        <w:jc w:val="left"/>
      </w:pPr>
      <w:r>
        <w:rPr>
          <w:rFonts w:ascii="Calibri" w:hAnsi="Calibri"/>
          <w:b w:val="0"/>
          <w:i/>
          <w:color w:val="64748B"/>
          <w:sz w:val="18"/>
        </w:rPr>
        <w:t>Dokumen ini tidak menentukan stack, database, API, atau hosting. Keputusan tersebut ditempatkan di ARD.</w:t>
      </w:r>
    </w:p>
    <w:p>
      <w:r>
        <w:br w:type="page"/>
      </w:r>
    </w:p>
    <w:p>
      <w:pPr>
        <w:pStyle w:val="Heading1"/>
        <w:keepNext/>
      </w:pPr>
      <w:r>
        <w:t>1. Design Foundation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CFDF5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SASARAN PENGALAMAN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Manajer memahami kondisi divisinya dalam kurang dari satu layar: apa yang terjadi, apa penyebabnya, dan tindakan apa yang harus dilakukan.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Prinsip Desain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Prinsip</w:t>
            </w:r>
          </w:p>
        </w:tc>
        <w:tc>
          <w:tcPr>
            <w:tcW w:type="dxa" w:w="68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Penerapan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Decision first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KPI, risiko, dan tindakan muncul sebelum tabel detail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Consistent shell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Sidebar, header, filter, dan pola halaman sama untuk seluruh divisi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Role aware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Menu, tombol, dan data mengikuti hak akses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Progressive detail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Ringkasan dapat dibuka ke outlet, periode, atau karyawan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Visible status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Draf, menunggu, disetujui, gagal, dan terkunci selalu terlihat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Safe actions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Aksi kritis membutuhkan konfirmasi dan menghasilkan audit log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Prioritas Informasi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100"/>
        <w:gridCol w:w="3550"/>
        <w:gridCol w:w="4710"/>
      </w:tblGrid>
      <w:tr>
        <w:trPr>
          <w:tblHeader w:val="true"/>
          <w:cantSplit/>
        </w:trPr>
        <w:tc>
          <w:tcPr>
            <w:tcW w:type="dxa" w:w="11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Prioritas</w:t>
            </w:r>
          </w:p>
        </w:tc>
        <w:tc>
          <w:tcPr>
            <w:tcW w:type="dxa" w:w="355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Informasi</w:t>
            </w:r>
          </w:p>
        </w:tc>
        <w:tc>
          <w:tcPr>
            <w:tcW w:type="dxa" w:w="471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Contoh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P1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Butuh tindakan sekarang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Selisih rekonsiliasi, kontrak segera berakhir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P2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Kinerja terhadap target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Omzet, target, pencapaian, tren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P3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Kondisi SDM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Kehadiran, cuti, kontrak, penilaian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P4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Detail pendukung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Tabel transaksi, histori, audit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BATAS DESAIN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Jangan menampilkan seluruh data sekaligus. Dashboard adalah ringkasan keputusan; data rinci berada pada halaman modul.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Information Architecture</w:t>
      </w:r>
    </w:p>
    <w:p>
      <w:pPr>
        <w:pStyle w:val="Heading2"/>
        <w:keepNext/>
      </w:pPr>
      <w:r>
        <w:t>2.1 Struktur Navigasi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600"/>
        <w:gridCol w:w="3050"/>
        <w:gridCol w:w="4710"/>
      </w:tblGrid>
      <w:tr>
        <w:trPr>
          <w:tblHeader w:val="true"/>
          <w:cantSplit/>
        </w:trPr>
        <w:tc>
          <w:tcPr>
            <w:tcW w:type="dxa" w:w="16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Kelompok</w:t>
            </w:r>
          </w:p>
        </w:tc>
        <w:tc>
          <w:tcPr>
            <w:tcW w:type="dxa" w:w="305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Menu</w:t>
            </w:r>
          </w:p>
        </w:tc>
        <w:tc>
          <w:tcPr>
            <w:tcW w:type="dxa" w:w="471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Layar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Overview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Ringkasan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SCR-01 Dashboard Manajer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People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Data Karyawan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SCR-07 Daftar dan detail karyawan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Revenue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Data Omzet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SCR-02 Impor; SCR-03 Validasi; histori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Performance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Target &amp; Realisasi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SCR-05 Target outlet/divisi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Performance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Penilaian Performa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SCR-06 Penilaian dan persetujuan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Workforce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Kehadiran / Jadwal / Cuti / Kontrak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Halaman read-only untuk Manager/User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Reporting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Laporan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Ekspor sesuai akses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Administration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Persetujuan / Konfigurasi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BOD dan Superadmin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Peta Peran ke Beranda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FFF"/>
          <w:left w:val="single" w:sz="10" w:color="FFFFFF"/>
          <w:bottom w:val="single" w:sz="10" w:color="FFFFFF"/>
          <w:right w:val="single" w:sz="10" w:color="FFFFFF"/>
          <w:insideH w:val="single" w:sz="10" w:color="FFFFFF"/>
          <w:insideV w:val="single" w:sz="1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BOD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Executive dashboard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Superadmin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System overview</w:t>
            </w:r>
          </w:p>
        </w:tc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HRD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People dashboard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Manager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Division dashboard</w:t>
            </w:r>
          </w:p>
        </w:tc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User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My profile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Pola Navigasi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Logo/identitas sistem tetap berada di atas sidebar.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Divisi aktif selalu terlihat pada header.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Filter periode dan outlet bersifat kontekstual dan mempertahankan pilihan saat berpindah halaman terkait.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Menu yang tidak diizinkan tidak ditampilkan; URL langsung tetap harus menghasilkan halaman 403.</w:t>
      </w:r>
    </w:p>
    <w:p>
      <w:r>
        <w:br w:type="page"/>
      </w:r>
    </w:p>
    <w:p>
      <w:pPr>
        <w:pStyle w:val="Heading1"/>
        <w:keepNext/>
      </w:pPr>
      <w:r>
        <w:t>3. Design System</w:t>
      </w:r>
    </w:p>
    <w:p>
      <w:pPr>
        <w:pStyle w:val="Heading2"/>
        <w:keepNext/>
      </w:pPr>
      <w:r>
        <w:t>3.1 Color Tokens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300"/>
        <w:gridCol w:w="1500"/>
        <w:gridCol w:w="5560"/>
      </w:tblGrid>
      <w:tr>
        <w:trPr>
          <w:tblHeader w:val="true"/>
          <w:cantSplit/>
        </w:trPr>
        <w:tc>
          <w:tcPr>
            <w:tcW w:type="dxa" w:w="23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15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55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Penggunaan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Primary Blue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#2563EB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Tombol utama, navigasi aktif, grafik utama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Navy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#0F172A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Sidebar dan teks utama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Surface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#F8FAFC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Latar halaman dan baris alternatif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Border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#CBD5E1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Garis tabel dan pemisah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Success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#15803D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Sukses, naik, disetujui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Warning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#B45309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Perlu perhatian/konfirmasi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Danger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#B91C1C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Gagal, terlambat, aksi berisiko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Info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#7C3AED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Informasi sekunder atau konfigurasi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Type &amp; Spacing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300"/>
        <w:gridCol w:w="2600"/>
        <w:gridCol w:w="4460"/>
      </w:tblGrid>
      <w:tr>
        <w:trPr>
          <w:tblHeader w:val="true"/>
          <w:cantSplit/>
        </w:trPr>
        <w:tc>
          <w:tcPr>
            <w:tcW w:type="dxa" w:w="23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</w:t>
            </w:r>
          </w:p>
        </w:tc>
        <w:tc>
          <w:tcPr>
            <w:tcW w:type="dxa" w:w="26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Spesifikasi</w:t>
            </w:r>
          </w:p>
        </w:tc>
        <w:tc>
          <w:tcPr>
            <w:tcW w:type="dxa" w:w="44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Pemakaian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Font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Inter; fallback Arial/sans-serif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Seluruh antarmuka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Page title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28 px / 700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Judul halaman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Section title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18 px / 600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Kelompok konten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Body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14 px / 400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Teks umum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Label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 px / 500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Label, metadata, 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Spacing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Kelipatan 4 px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8, 12, 16, 24, 32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Radius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 px cards; 6 px inputs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Konsisten; hindari terlalu bulat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Shadow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Sangat ringan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Hanya card/dialog, bukan semua elemen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Component 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300"/>
        <w:gridCol w:w="3350"/>
        <w:gridCol w:w="3710"/>
      </w:tblGrid>
      <w:tr>
        <w:trPr>
          <w:tblHeader w:val="true"/>
          <w:cantSplit/>
        </w:trPr>
        <w:tc>
          <w:tcPr>
            <w:tcW w:type="dxa" w:w="23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Komponen</w:t>
            </w:r>
          </w:p>
        </w:tc>
        <w:tc>
          <w:tcPr>
            <w:tcW w:type="dxa" w:w="335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Varian wajib</w:t>
            </w:r>
          </w:p>
        </w:tc>
        <w:tc>
          <w:tcPr>
            <w:tcW w:type="dxa" w:w="371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Aturan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Button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Primary, secondary, ghost, danger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Satu primary action per area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KPI Card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Default, positive, warning, critical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Nilai + label + pembanding + 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Status Badge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Draft, submitted, approved, revision, locked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Warna dan teks; jangan mengandalkan warna saja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Table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Default, selectable, expandable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Sort/filter/pagination bila perlu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Form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Text, number, select, date, upload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Label terlihat; error di bawah field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Feedback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Toast, inline alert, modal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Modal hanya untuk konfirmasi penting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Global Layout Blueprint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200"/>
        <w:gridCol w:w="2450"/>
        <w:gridCol w:w="4710"/>
      </w:tblGrid>
      <w:tr>
        <w:trPr>
          <w:tblHeader w:val="true"/>
          <w:cantSplit/>
        </w:trPr>
        <w:tc>
          <w:tcPr>
            <w:tcW w:type="dxa" w:w="22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45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Ukuran referensi</w:t>
            </w:r>
          </w:p>
        </w:tc>
        <w:tc>
          <w:tcPr>
            <w:tcW w:type="dxa" w:w="471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Isi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Sidebar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240 px; collapse 72 px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Brand, menu, profil, keluar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Topbar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64 px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Breadcrumb, divisi aktif, notifikasi, user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Content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Sisa lebar; max 1440 px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Judul, filter, KPI, grafik, tabel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Page padding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24-32 px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Ruang napas konsisten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Grid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 kolom; gap 16 px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KPI 3-4 kolom; grafik 8+4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Anatomi Halaman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FFF"/>
          <w:left w:val="single" w:sz="10" w:color="FFFFFF"/>
          <w:bottom w:val="single" w:sz="10" w:color="FFFFFF"/>
          <w:right w:val="single" w:sz="10" w:color="FFFFFF"/>
          <w:insideH w:val="single" w:sz="10" w:color="FFFFFF"/>
          <w:insideV w:val="single" w:sz="1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1. Context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Title + description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2. Filters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Period + outlet</w:t>
            </w:r>
          </w:p>
        </w:tc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3. Summary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 + status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4. Analysis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Chart + table</w:t>
            </w:r>
          </w:p>
        </w:tc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5. Action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CTA + alerts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Perilaku Desktop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Lebar</w:t>
            </w:r>
          </w:p>
        </w:tc>
        <w:tc>
          <w:tcPr>
            <w:tcW w:type="dxa" w:w="70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Perilaku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&gt;= 1280 px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Sidebar terbuka; KPI empat kolom; grafik utama berdampingan dengan panel samping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1024-1279 px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Sidebar dapat collapse; KPI dua kolom; panel dapat turun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&lt; 1024 px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Bukan prioritas MVP; tetap usable dengan tabel scroll horizontal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NO-DATA RULE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Jangan menampilkan angka 0 jika data belum tersedia. Gunakan state “Belum ada data” dan jelaskan tindakan berikutnya.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SCR-01 — Dashboard Manajer Minimarket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850"/>
        <w:gridCol w:w="2700"/>
        <w:gridCol w:w="5810"/>
      </w:tblGrid>
      <w:tr>
        <w:trPr>
          <w:tblHeader w:val="true"/>
          <w:cantSplit/>
        </w:trPr>
        <w:tc>
          <w:tcPr>
            <w:tcW w:type="dxa" w:w="85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Zona</w:t>
            </w:r>
          </w:p>
        </w:tc>
        <w:tc>
          <w:tcPr>
            <w:tcW w:type="dxa" w:w="27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Komponen</w:t>
            </w:r>
          </w:p>
        </w:tc>
        <w:tc>
          <w:tcPr>
            <w:tcW w:type="dxa" w:w="581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Interaksi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Header + filter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Pilih periode dan outlet; URL/query ikut berubah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KPI cards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Klik membuka halaman detail dengan filter yang sama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Tren omzet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Hover tooltip; toggle kotor/bersih; filter outlet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Performa outlet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Klik outlet membuka target dan realisasi outlet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Ringkasan SDM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Klik membuka modul SDM read-only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Ringkasan performa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Buat penilaian jika role mengizinkan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G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Perlu tindakan</w:t>
            </w:r>
          </w:p>
        </w:tc>
        <w:tc>
          <w:tcPr>
            <w:tcW w:type="dxa" w:w="58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Urutkan berdasar urgensi; klik menuju objek masalah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 title="SCR-01 Dashboard Manajer Minimarket" descr="Dashboard manager minimarket dengan KPI omzet, tren, performa outlet, SDM, dan tindak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anajer_minimar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59" w:lineRule="auto"/>
        <w:jc w:val="center"/>
      </w:pPr>
      <w:r>
        <w:rPr>
          <w:rFonts w:ascii="Calibri" w:hAnsi="Calibri"/>
          <w:b w:val="0"/>
          <w:i/>
          <w:color w:val="64748B"/>
          <w:sz w:val="17"/>
        </w:rPr>
        <w:t>Referensi visual SCR-01 — angka dan nama bersifat ilustratif.</w:t>
      </w:r>
    </w:p>
    <w:p>
      <w:pPr>
        <w:pStyle w:val="Heading2"/>
        <w:keepNext/>
      </w:pPr>
      <w:r>
        <w:t>5.1 States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State</w:t>
            </w:r>
          </w:p>
        </w:tc>
        <w:tc>
          <w:tcPr>
            <w:tcW w:type="dxa" w:w="72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Tampilan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Loading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Skeleton mengikuti bentuk kartu/grafik; bukan spinner penuh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Empty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Ilustrasi ringan + alasan + tombol Impor Excel jika berwenang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Partial data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Banner peringatan dan penanda KPI yang belum lengkap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Error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Pesan singkat + Retry + kode referensi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No access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403 + kembali ke halaman yang diizinkan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SCR-02 &amp; SCR-03 — Impor dan Validasi Excel</w:t>
      </w:r>
    </w:p>
    <w:p>
      <w:pPr>
        <w:pStyle w:val="Heading2"/>
        <w:keepNext/>
      </w:pPr>
      <w:r>
        <w:t>6.1 User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FFF"/>
          <w:left w:val="single" w:sz="10" w:color="FFFFFF"/>
          <w:bottom w:val="single" w:sz="10" w:color="FFFFFF"/>
          <w:right w:val="single" w:sz="10" w:color="FFFFFF"/>
          <w:insideH w:val="single" w:sz="10" w:color="FFFFFF"/>
          <w:insideV w:val="single" w:sz="1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Upload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Pilih file .xlsx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Map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Kenali kolom</w:t>
            </w:r>
          </w:p>
        </w:tc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Validate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Periksa data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Preview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Valid vs gagal</w:t>
            </w:r>
          </w:p>
        </w:tc>
        <w:tc>
          <w:tcPr>
            <w:tcW w:type="dxa" w:w="1872"/>
            <w:shd w:fill="F5F3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Post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Konfirmasi simpan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SCR-02 Upload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72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Komponen / aturan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Context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Divisi, outlet opsional, jenis data, periode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Dropzone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Drag-and-drop + browse; hanya .xlsx; tampilkan batas ukuran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Template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Tombol unduh template resmi dan petunjuk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Recent imports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Nama file, periode, pengguna, waktu, status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Primary action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Validasi file; disabled sampai konteks dan file valid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SCR-03 Validation Result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69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Isi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Summary cards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Total rows, valid, warning, failed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Tabs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All / Valid / Warning / Failed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Error table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Row, column, value, message, suggested fix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Actions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Download error report; replace file; post valid rows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Confirmation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Jumlah baris yang diposting + dampak + audit notice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ERROR MESSAGE PATTERN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Gunakan: “Baris 24 · Kode Outlet · OUT-99 tidak ditemukan. Gunakan kode outlet aktif.” Hindari pesan teknis seperti validation_failed.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SCR-04 &amp; SCR-05 — Rekonsiliasi dan Target</w:t>
      </w:r>
    </w:p>
    <w:p>
      <w:pPr>
        <w:pStyle w:val="Heading2"/>
        <w:keepNext/>
      </w:pPr>
      <w:r>
        <w:t>7.1 SCR-04 Reconciliation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Bagian</w:t>
            </w:r>
          </w:p>
        </w:tc>
        <w:tc>
          <w:tcPr>
            <w:tcW w:type="dxa" w:w="70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Isi / interaksi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Filters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Periode, divisi, outlet, 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Summary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Total harian, rekap bulanan, selisih, outlet bermasalah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Comparison table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Outlet, daily total, monthly total, difference, status, action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Difference drawer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Rincian sumber, catatan, histori konfirmasi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Resolve action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Konfirmasi sesuai alasan; cancel; lock period jika selesai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SCR-05 Target &amp; Realization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FFF"/>
          <w:left w:val="single" w:sz="10" w:color="FFFFFF"/>
          <w:bottom w:val="single" w:sz="10" w:color="FFFFFF"/>
          <w:right w:val="single" w:sz="10" w:color="FFFFFF"/>
          <w:insideH w:val="single" w:sz="10" w:color="FFFFFF"/>
          <w:insideV w:val="single" w:sz="1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Draft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Manager inputs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Submit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Freeze draft</w:t>
            </w:r>
          </w:p>
        </w:tc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Review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BOD checks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Revise/Approve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With note</w:t>
            </w:r>
          </w:p>
        </w:tc>
        <w:tc>
          <w:tcPr>
            <w:tcW w:type="dxa" w:w="1872"/>
            <w:shd w:fill="EAF2FF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Lock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Active target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Komponen</w:t>
            </w:r>
          </w:p>
        </w:tc>
        <w:tc>
          <w:tcPr>
            <w:tcW w:type="dxa" w:w="68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Aturan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Period selector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Satu target aktif per outlet/periode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Outlet table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Target, realisasi, pencapaian, status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Division total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Jumlah target outlet; bukan input manual terpisah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Submit button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Muncul untuk Manager saat draft valid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Approval panel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Muncul untuk BOD; approve atau return with note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Locked state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Read-only; reopening wajib beralasan dan diaudit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AGGREGATION RULE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Pencapaian divisi = total realisasi seluruh outlet / total target seluruh outlet. Jangan merata-ratakan persentase pencapaian setiap outlet.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SCR-06 — Penilaian Performa</w:t>
      </w:r>
    </w:p>
    <w:p>
      <w:pPr>
        <w:pStyle w:val="Heading2"/>
        <w:keepNext/>
      </w:pPr>
      <w:r>
        <w:t>8.1 Manager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FFFF"/>
          <w:left w:val="single" w:sz="10" w:color="FFFFFF"/>
          <w:bottom w:val="single" w:sz="10" w:color="FFFFFF"/>
          <w:right w:val="single" w:sz="10" w:color="FFFFFF"/>
          <w:insideH w:val="single" w:sz="10" w:color="FFFFFF"/>
          <w:insideV w:val="single" w:sz="1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ECFDF5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Select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Employee + period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Score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Indicators</w:t>
            </w:r>
          </w:p>
        </w:tc>
        <w:tc>
          <w:tcPr>
            <w:tcW w:type="dxa" w:w="1872"/>
            <w:shd w:fill="ECFDF5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Review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Total + notes</w:t>
            </w:r>
          </w:p>
        </w:tc>
        <w:tc>
          <w:tcPr>
            <w:tcW w:type="dxa" w:w="1872"/>
            <w:shd w:fill="F8FAFC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Submit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Send to BOD</w:t>
            </w:r>
          </w:p>
        </w:tc>
        <w:tc>
          <w:tcPr>
            <w:tcW w:type="dxa" w:w="1872"/>
            <w:shd w:fill="ECFDF5"/>
            <w:tcMar>
              <w:top w:w="140" w:type="dxa"/>
              <w:start w:w="120" w:type="dxa"/>
              <w:bottom w:w="14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Final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Approved/locked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68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Aturan UI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Employee context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Nama, jabatan, outlet, periode terlihat permanen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Indicator list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Indikator, bobot, skor, panduan skor, catatan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Score summary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Nilai sementara + kelengkapan; bukan hasil final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Validation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Skor di luar rentang, indikator kosong, bobot tidak 100%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Submit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Konfirmasi; setelah submit menjadi read-only bagi penilai sampai dikembalikan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BOD 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68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Perilaku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Review queue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Filter divisi, outlet, periode, status, urgency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Assessment detail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Nilai, indikator, catatan penilai, histori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Approve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Konfirmasi dan lock hasil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Return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Catatan wajib; kembali ke pembuat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Restriction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BOD tidak mengedit skor secara langsung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KPI Level Indicator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300"/>
        <w:gridCol w:w="4000"/>
        <w:gridCol w:w="3060"/>
      </w:tblGrid>
      <w:tr>
        <w:trPr>
          <w:tblHeader w:val="true"/>
          <w:cantSplit/>
        </w:trPr>
        <w:tc>
          <w:tcPr>
            <w:tcW w:type="dxa" w:w="23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 level</w:t>
            </w:r>
          </w:p>
        </w:tc>
        <w:tc>
          <w:tcPr>
            <w:tcW w:type="dxa" w:w="40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Contoh</w:t>
            </w:r>
          </w:p>
        </w:tc>
        <w:tc>
          <w:tcPr>
            <w:tcW w:type="dxa" w:w="30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Tampilan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Individual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Kehadiran, kedisiplinan, nilai performa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Badge Person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Outlet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Omzet, transaksi, pencapaian outlet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Badge Outlet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Division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Total omzet, target divisi, risiko SDM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Badge Division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ANTI-PATTERN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Jangan menampilkan omzet outlet pada kartu nilai karyawan seolah-olah merupakan nilai individu. Kontribusi individu memerlukan aturan atribusi terpisah.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Workforce Screens &amp; Role Variations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100"/>
        <w:gridCol w:w="2350"/>
        <w:gridCol w:w="2650"/>
        <w:gridCol w:w="2260"/>
      </w:tblGrid>
      <w:tr>
        <w:trPr>
          <w:tblHeader w:val="true"/>
          <w:cantSplit/>
        </w:trPr>
        <w:tc>
          <w:tcPr>
            <w:tcW w:type="dxa" w:w="21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Modul</w:t>
            </w:r>
          </w:p>
        </w:tc>
        <w:tc>
          <w:tcPr>
            <w:tcW w:type="dxa" w:w="235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Manager</w:t>
            </w:r>
          </w:p>
        </w:tc>
        <w:tc>
          <w:tcPr>
            <w:tcW w:type="dxa" w:w="265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User/Karyawan</w:t>
            </w:r>
          </w:p>
        </w:tc>
        <w:tc>
          <w:tcPr>
            <w:tcW w:type="dxa" w:w="22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HRD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Data karyawan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divisinya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data sendiri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Kehadiran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ringkasan/detail divisi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data sendiri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 di SobatHR; dashboard read-only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Jadwal kerja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divisi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jadwal sendiri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 di SobatHR; dashboard read-only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Cuti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status divisi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status sendiri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 di SobatHR; dashboard read-only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Kontrak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status/pengingat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kontrak sendiri sesuai kebijakan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Dokumen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Terbatas sesuai izin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Dokumen sendiri sesuai izin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Read-only Pattern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</w:t>
            </w:r>
          </w:p>
        </w:tc>
        <w:tc>
          <w:tcPr>
            <w:tcW w:type="dxa" w:w="69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Aturan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Header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Tampilkan badge “Read-only” bila pengguna tidak dapat mengubah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Action bar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Sembunyikan edit/delete; jangan tampilkan tombol disabled tanpa alasan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Sensitive fields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Mask atau sembunyikan sesuai izin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Empty state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Jelaskan apakah data belum tersedia atau akses dibatasi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Audit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Akses dokumen sensitif dapat dicatat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Global Component States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600"/>
        <w:gridCol w:w="3000"/>
        <w:gridCol w:w="4760"/>
      </w:tblGrid>
      <w:tr>
        <w:trPr>
          <w:tblHeader w:val="true"/>
          <w:cantSplit/>
        </w:trPr>
        <w:tc>
          <w:tcPr>
            <w:tcW w:type="dxa" w:w="16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State</w:t>
            </w:r>
          </w:p>
        </w:tc>
        <w:tc>
          <w:tcPr>
            <w:tcW w:type="dxa" w:w="30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Visual</w:t>
            </w:r>
          </w:p>
        </w:tc>
        <w:tc>
          <w:tcPr>
            <w:tcW w:type="dxa" w:w="47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Copy pattern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Loading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Skeleton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Memuat data…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Empty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Icon + explanation + optional CTA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Belum ada data untuk periode ini.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Error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Inline alert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Data gagal dimuat. Coba lagi.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Success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Toast + changed status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Target berhasil diajukan.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Warning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Banner/card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Data belum direkonsiliasi.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Locked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Lock icon + reason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Periode telah dikunci oleh BOD.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Accessibility, Copy &amp; Handoff</w:t>
      </w:r>
    </w:p>
    <w:p>
      <w:pPr>
        <w:pStyle w:val="Heading2"/>
        <w:keepNext/>
      </w:pPr>
      <w:r>
        <w:t>10.1 Accessibility Checklist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Kontras teks dan latar memenuhi standar minimum yang layak diuji.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Semua input memiliki label terlihat; placeholder bukan pengganti label.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Status tidak bergantung pada warna saja; gunakan teks dan ikon.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Fokus keyboard terlihat; modal mengembalikan fokus ke pemicu.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Grafik memiliki ringkasan angka atau tabel alternatif.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Tabel dapat discroll horizontal tanpa memotong kolom aksi.</w:t>
      </w:r>
    </w:p>
    <w:p>
      <w:pPr>
        <w:pStyle w:val="Heading2"/>
        <w:keepNext/>
      </w:pPr>
      <w:r>
        <w:t>10.2 Microcopy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100"/>
        <w:gridCol w:w="3300"/>
        <w:gridCol w:w="3960"/>
      </w:tblGrid>
      <w:tr>
        <w:trPr>
          <w:tblHeader w:val="true"/>
          <w:cantSplit/>
        </w:trPr>
        <w:tc>
          <w:tcPr>
            <w:tcW w:type="dxa" w:w="21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Situasi</w:t>
            </w:r>
          </w:p>
        </w:tc>
        <w:tc>
          <w:tcPr>
            <w:tcW w:type="dxa" w:w="330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Gunakan</w:t>
            </w:r>
          </w:p>
        </w:tc>
        <w:tc>
          <w:tcPr>
            <w:tcW w:type="dxa" w:w="3960"/>
            <w:shd w:fill="2563EB"/>
            <w:tcMar>
              <w:top w:w="115" w:type="dxa"/>
              <w:start w:w="120" w:type="dxa"/>
              <w:bottom w:w="115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Hindari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Primary action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Impor dan Validasi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Submit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Destructive action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Batalkan Impor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OK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Approval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Setujui Target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Approve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Return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Kembalikan untuk Revisi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Reject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Empty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Belum ada data omzet untuk Agustus 2026.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No data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Error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Kode outlet tidak ditemukan.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Invalid input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10.3 Vibe Coding Handoff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PROMPT — APP SHELL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Buat app shell desktop 1440 px sesuai bagian 4. Gunakan sidebar 240 px, topbar 64 px, content grid 12 kolom, token warna bagian 3, dan state loading/empty/error. Terapkan role-based navigation menggunakan data mock.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5F3FF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C3AED"/>
                <w:sz w:val="18"/>
              </w:rPr>
              <w:t>PROMPT — SCREEN CONTRACT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Implementasikan [SCREEN_ID]. Ikuti struktur area, komponen, interaksi, validasi, role, dan states pada dokumen ini. Mulai dengan data mock. Jangan menambahkan fitur yang tidak tercantum; tandai keputusan yang belum tersedia.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10.4 Ready-for-Prototype Checklist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SCR-01 sampai SCR-06 memiliki layout dan state utama.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Komponen menggunakan token yang sama.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Hak akses diuji untuk Manager, BOD, HRD, Superadmin, dan User.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Data mock membedakan KPI individual, outlet, dan divisi.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Aksi submit/approve/return memiliki confirmation dan feedback.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Open decisions dari PRD tidak diasumsikan sebagai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NEXT DOCUMENT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Setelah prototipe layar kritis divalidasi, susun ARD untuk stack, database, API, autentikasi, file storage, audit, dan deployment.</w:t>
            </w:r>
          </w:p>
        </w:tc>
      </w:tr>
    </w:tbl>
    <w:p>
      <w:pPr>
        <w:spacing w:after="40"/>
      </w:pPr>
    </w:p>
    <w:p>
      <w:pPr>
        <w:keepNext w:val="0"/>
        <w:spacing w:before="240" w:after="100" w:line="259" w:lineRule="auto"/>
        <w:jc w:val="center"/>
      </w:pPr>
      <w:r>
        <w:rPr>
          <w:rFonts w:ascii="Calibri" w:hAnsi="Calibri"/>
          <w:b/>
          <w:i w:val="0"/>
          <w:color w:val="2563EB"/>
          <w:sz w:val="20"/>
        </w:rPr>
        <w:t>Lanjutan: Integrasi SobatHR</w:t>
      </w:r>
    </w:p>
    <w:p>
      <w:r>
        <w:br w:type="page"/>
      </w:r>
    </w:p>
    <w:p>
      <w:pPr>
        <w:pStyle w:val="Heading1"/>
      </w:pPr>
      <w:r>
        <w:t>11. SobatHR Data Experience</w:t>
      </w:r>
    </w:p>
    <w:p>
      <w:pPr>
        <w:spacing w:after="160"/>
        <w:ind w:left="200"/>
      </w:pPr>
      <w:r>
        <w:rPr>
          <w:b/>
          <w:color w:val="1F5EFF"/>
        </w:rPr>
        <w:t xml:space="preserve">Keputusan: </w:t>
      </w:r>
      <w:r>
        <w:t>Antarmuka harus selalu menjelaskan asal, periode, dan kesegaran data. Pengguna tidak boleh mengira tindakan HR dapat dilakukan dari dashboard.</w:t>
      </w:r>
    </w:p>
    <w:p>
      <w:pPr>
        <w:pStyle w:val="Heading2"/>
      </w:pPr>
      <w:r>
        <w:t>11.1 Navigation &amp; Visibility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Halaman</w:t>
            </w:r>
          </w:p>
        </w:tc>
        <w:tc>
          <w:tcPr>
            <w:tcW w:type="dxa" w:w="26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Peran</w:t>
            </w:r>
          </w:p>
        </w:tc>
        <w:tc>
          <w:tcPr>
            <w:tcW w:type="dxa" w:w="456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Elemen utama</w:t>
            </w:r>
          </w:p>
        </w:tc>
      </w:tr>
      <w:tr>
        <w:tc>
          <w:tcPr>
            <w:tcW w:type="dxa" w:w="22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Workforce Overview</w:t>
            </w:r>
          </w:p>
        </w:tc>
        <w:tc>
          <w:tcPr>
            <w:tcW w:type="dxa" w:w="2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BOD, HRD, Manager, Superadmin</w:t>
            </w:r>
          </w:p>
        </w:tc>
        <w:tc>
          <w:tcPr>
            <w:tcW w:type="dxa" w:w="4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Kehadiran, keterlambatan, cuti, izin, lembur, sakit, dan last sync.</w:t>
            </w:r>
          </w:p>
        </w:tc>
      </w:tr>
      <w:tr>
        <w:tc>
          <w:tcPr>
            <w:tcW w:type="dxa" w:w="22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SobatHR Import Center</w:t>
            </w:r>
          </w:p>
        </w:tc>
        <w:tc>
          <w:tcPr>
            <w:tcW w:type="dxa" w:w="26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HRD; Superadmin sebagai dukungan teknis</w:t>
            </w:r>
          </w:p>
        </w:tc>
        <w:tc>
          <w:tcPr>
            <w:tcW w:type="dxa" w:w="45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Upload, mapping, validasi, publish, riwayat, dan error report.</w:t>
            </w:r>
          </w:p>
        </w:tc>
      </w:tr>
      <w:tr>
        <w:tc>
          <w:tcPr>
            <w:tcW w:type="dxa" w:w="22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Payroll Summary</w:t>
            </w:r>
          </w:p>
        </w:tc>
        <w:tc>
          <w:tcPr>
            <w:tcW w:type="dxa" w:w="2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BOD</w:t>
            </w:r>
          </w:p>
        </w:tc>
        <w:tc>
          <w:tcPr>
            <w:tcW w:type="dxa" w:w="4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Total payroll per periode/divisi dan perbandingan; tanpa daftar gaji individu.</w:t>
            </w:r>
          </w:p>
        </w:tc>
      </w:tr>
      <w:tr>
        <w:tc>
          <w:tcPr>
            <w:tcW w:type="dxa" w:w="22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Employee Detail</w:t>
            </w:r>
          </w:p>
        </w:tc>
        <w:tc>
          <w:tcPr>
            <w:tcW w:type="dxa" w:w="26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Sesuai scope</w:t>
            </w:r>
          </w:p>
        </w:tc>
        <w:tc>
          <w:tcPr>
            <w:tcW w:type="dxa" w:w="45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Status HR read-only; payroll tidak ditampilkan.</w:t>
            </w:r>
          </w:p>
        </w:tc>
      </w:tr>
    </w:tbl>
    <w:p/>
    <w:p>
      <w:pPr>
        <w:pStyle w:val="Heading2"/>
      </w:pPr>
      <w:r>
        <w:t>11.2 Required UI States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18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Badge</w:t>
            </w:r>
          </w:p>
        </w:tc>
        <w:tc>
          <w:tcPr>
            <w:tcW w:type="dxa" w:w="576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Respons antarmuka</w:t>
            </w:r>
          </w:p>
        </w:tc>
      </w:tr>
      <w:t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Belum diimpor</w:t>
            </w:r>
          </w:p>
        </w:tc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No data</w:t>
            </w:r>
          </w:p>
        </w:tc>
        <w:tc>
          <w:tcPr>
            <w:tcW w:type="dxa" w:w="57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empty state dan instruksi file yang dibutuhkan.</w:t>
            </w:r>
          </w:p>
        </w:tc>
      </w:tr>
      <w:tr>
        <w:tc>
          <w:tcPr>
            <w:tcW w:type="dxa" w:w="18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Validasi</w:t>
            </w:r>
          </w:p>
        </w:tc>
        <w:tc>
          <w:tcPr>
            <w:tcW w:type="dxa" w:w="18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Checking</w:t>
            </w:r>
          </w:p>
        </w:tc>
        <w:tc>
          <w:tcPr>
            <w:tcW w:type="dxa" w:w="57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progress serta jumlah baris diproses.</w:t>
            </w:r>
          </w:p>
        </w:tc>
      </w:tr>
      <w:t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Siap dipublikasi</w:t>
            </w:r>
          </w:p>
        </w:tc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Ready</w:t>
            </w:r>
          </w:p>
        </w:tc>
        <w:tc>
          <w:tcPr>
            <w:tcW w:type="dxa" w:w="57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ringkasan valid/error dan tombol publish untuk peran berwenang.</w:t>
            </w:r>
          </w:p>
        </w:tc>
      </w:tr>
      <w:tr>
        <w:tc>
          <w:tcPr>
            <w:tcW w:type="dxa" w:w="18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Terkini</w:t>
            </w:r>
          </w:p>
        </w:tc>
        <w:tc>
          <w:tcPr>
            <w:tcW w:type="dxa" w:w="18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Synced</w:t>
            </w:r>
          </w:p>
        </w:tc>
        <w:tc>
          <w:tcPr>
            <w:tcW w:type="dxa" w:w="57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waktu sinkronisasi dan periode data.</w:t>
            </w:r>
          </w:p>
        </w:tc>
      </w:tr>
      <w:t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Kedaluwarsa</w:t>
            </w:r>
          </w:p>
        </w:tc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Stale</w:t>
            </w:r>
          </w:p>
        </w:tc>
        <w:tc>
          <w:tcPr>
            <w:tcW w:type="dxa" w:w="57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peringatan bila melewati ambang kesegaran yang disepakati.</w:t>
            </w:r>
          </w:p>
        </w:tc>
      </w:tr>
      <w:tr>
        <w:tc>
          <w:tcPr>
            <w:tcW w:type="dxa" w:w="18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Gagal/parsial</w:t>
            </w:r>
          </w:p>
        </w:tc>
        <w:tc>
          <w:tcPr>
            <w:tcW w:type="dxa" w:w="18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Failed / Partial</w:t>
            </w:r>
          </w:p>
        </w:tc>
        <w:tc>
          <w:tcPr>
            <w:tcW w:type="dxa" w:w="57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Jangan menimpa data valid terakhir; sediakan file error.</w:t>
            </w:r>
          </w:p>
        </w:tc>
      </w:tr>
    </w:tbl>
    <w:p/>
    <w:p>
      <w:pPr>
        <w:pStyle w:val="Heading2"/>
      </w:pPr>
      <w:r>
        <w:t>11.3 Payroll Privacy Pattern</w:t>
      </w:r>
    </w:p>
    <w:p>
      <w:pPr>
        <w:pStyle w:val="ListBullet"/>
      </w:pPr>
      <w:r>
        <w:t>Menu Payroll Summary hanya muncul untuk BOD; menyembunyikan menu bukan pengganti pemeriksaan izin pada API.</w:t>
      </w:r>
    </w:p>
    <w:p>
      <w:pPr>
        <w:pStyle w:val="ListBullet"/>
      </w:pPr>
      <w:r>
        <w:t>Tidak ada nama karyawan, NIK, rekening, slip, komponen gaji individu, atau tombol ekspor detail.</w:t>
      </w:r>
    </w:p>
    <w:p>
      <w:pPr>
        <w:pStyle w:val="ListBullet"/>
      </w:pPr>
      <w:r>
        <w:t>Setiap kartu menampilkan periode, mata uang, status kelengkapan, dan sumber SobatHR.</w:t>
      </w:r>
    </w:p>
    <w:p>
      <w:pPr>
        <w:pStyle w:val="ListBullet"/>
      </w:pPr>
      <w:r>
        <w:t>Jika data belum lengkap, tampilkan nilai sebagai belum tersedia; jangan mengganti dengan nol.</w:t>
      </w:r>
    </w:p>
    <w:p>
      <w:pPr>
        <w:pStyle w:val="Heading2"/>
      </w:pPr>
      <w:r>
        <w:t>11.4 Microcopy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Kondisi</w:t>
            </w:r>
          </w:p>
        </w:tc>
        <w:tc>
          <w:tcPr>
            <w:tcW w:type="dxa" w:w="696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Copy yang digunakan</w:t>
            </w:r>
          </w:p>
        </w:tc>
      </w:tr>
      <w:tr>
        <w:tc>
          <w:tcPr>
            <w:tcW w:type="dxa" w:w="24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Data read-only</w:t>
            </w:r>
          </w:p>
        </w:tc>
        <w:tc>
          <w:tcPr>
            <w:tcW w:type="dxa" w:w="69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Data berasal dari SobatHR dan tidak dapat diubah melalui dashboard ini.</w:t>
            </w:r>
          </w:p>
        </w:tc>
      </w:tr>
      <w:tr>
        <w:tc>
          <w:tcPr>
            <w:tcW w:type="dxa" w:w="24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Belum sinkron</w:t>
            </w:r>
          </w:p>
        </w:tc>
        <w:tc>
          <w:tcPr>
            <w:tcW w:type="dxa" w:w="69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Belum ada data SobatHR untuk periode ini.</w:t>
            </w:r>
          </w:p>
        </w:tc>
      </w:tr>
      <w:tr>
        <w:tc>
          <w:tcPr>
            <w:tcW w:type="dxa" w:w="24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Impor parsial</w:t>
            </w:r>
          </w:p>
        </w:tc>
        <w:tc>
          <w:tcPr>
            <w:tcW w:type="dxa" w:w="69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Sebagian baris gagal. Data valid terakhir tetap digunakan.</w:t>
            </w:r>
          </w:p>
        </w:tc>
      </w:tr>
      <w:tr>
        <w:tc>
          <w:tcPr>
            <w:tcW w:type="dxa" w:w="24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Payroll dibatasi</w:t>
            </w:r>
          </w:p>
        </w:tc>
        <w:tc>
          <w:tcPr>
            <w:tcW w:type="dxa" w:w="69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Ringkasan payroll hanya tersedia untuk BOD.</w:t>
            </w:r>
          </w:p>
        </w:tc>
      </w:tr>
    </w:tbl>
    <w:p/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headerReference w:type="first" r:id="rId15"/>
      <w:pgSz w:w="12240" w:h="15840"/>
      <w:pgMar w:top="1080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7"/>
      </w:rPr>
      <w:t>Versi 0.2  |  Analytic &amp; Reporting Dashboard Divisi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7"/>
      </w:rPr>
      <w:t>Versi 0.2  |  Analytic &amp; Reporting Dashboard Divisi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7"/>
      </w:rPr>
      <w:t>Dokumen Internal  |  Versi 0.2  |  21 Agustus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4748B"/>
        <w:sz w:val="17"/>
      </w:rPr>
      <w:t>UI/UX SPECIFICATION  |  INTERNAL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4748B"/>
        <w:sz w:val="17"/>
      </w:rPr>
      <w:t>UI/UX SPECIFICATION  |  INTERNAL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04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504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 - Analytic &amp; Reporting Dashboard Divisi</dc:title>
  <dc:subject>Spesifikasi visual, navigasi, komponen, state, dan interaksi untuk MVP Manager Minimarket dan sistem multi-divisi.</dc:subject>
  <dc:creator>Tim Proyek</dc:creator>
  <cp:keywords>UI, UX, dashboard, screen map, design system, vibe coding, minimarket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