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80" w:line="259" w:lineRule="auto"/>
        <w:jc w:val="left"/>
      </w:pPr>
      <w:r>
        <w:rPr>
          <w:rFonts w:ascii="Calibri" w:hAnsi="Calibri"/>
          <w:b/>
          <w:i w:val="0"/>
          <w:color w:val="2563EB"/>
          <w:sz w:val="20"/>
        </w:rPr>
        <w:t>BUILD-READY PRODUCT BRIEF</w:t>
      </w:r>
    </w:p>
    <w:p>
      <w:pPr>
        <w:keepNext w:val="0"/>
        <w:spacing w:before="0" w:after="80" w:line="259" w:lineRule="auto"/>
        <w:jc w:val="left"/>
      </w:pPr>
      <w:r>
        <w:rPr>
          <w:rFonts w:ascii="Calibri" w:hAnsi="Calibri"/>
          <w:b/>
          <w:i w:val="0"/>
          <w:color w:val="0F172A"/>
          <w:sz w:val="56"/>
        </w:rPr>
        <w:t>PRD UNTUK</w:t>
        <w:br/>
        <w:t>VIBE CODING</w:t>
      </w:r>
    </w:p>
    <w:p>
      <w:pPr>
        <w:spacing w:after="360"/>
      </w:pPr>
      <w:r>
        <w:rPr>
          <w:rFonts w:ascii="Calibri" w:hAnsi="Calibri"/>
          <w:b w:val="0"/>
          <w:i/>
          <w:color w:val="2563EB"/>
          <w:sz w:val="28"/>
        </w:rPr>
        <w:t>Analytic &amp; Reporting Dashboard</w:t>
      </w:r>
      <w:r>
        <w:rPr>
          <w:rFonts w:ascii="Calibri" w:hAnsi="Calibri"/>
          <w:b/>
          <w:i w:val="0"/>
          <w:color w:val="475569"/>
          <w:sz w:val="28"/>
        </w:rPr>
        <w:t xml:space="preserve"> Divisi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2FF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CARA MEMAKAI DOKUMEN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Baca dari atas ke bawah saat memahami produk. Saat mulai coding, gunakan Screen Map, Feature Contract, Data Contract, dan Prompt Starter sebagai acuan kerja.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0F172A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6860"/>
            <w:shd w:fill="0F172A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Keputusan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Cakupan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Satu sistem untuk seluruh divisi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MVP pertama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Dashboard Manajer - Minimarket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Perangkat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Desktop/laptop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Gaya UI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Profesional modern; netral + aksen biru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Sumber omzet awal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Impor Excel harian dan bulanan per outlet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Status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Draf untuk validasi</w:t>
            </w:r>
          </w:p>
        </w:tc>
      </w:tr>
    </w:tbl>
    <w:p>
      <w:pPr>
        <w:spacing w:after="40"/>
      </w:pPr>
    </w:p>
    <w:p>
      <w:pPr>
        <w:keepNext w:val="0"/>
        <w:spacing w:before="160" w:after="100" w:line="259" w:lineRule="auto"/>
        <w:jc w:val="left"/>
      </w:pPr>
      <w:r>
        <w:rPr>
          <w:rFonts w:ascii="Calibri" w:hAnsi="Calibri"/>
          <w:b w:val="0"/>
          <w:i/>
          <w:color w:val="64748B"/>
          <w:sz w:val="18"/>
        </w:rPr>
        <w:t>Yang belum final: nama perusahaan, rumus omzet bersih, KPI setiap divisi, bobot penilaian, daftar outlet, dan kebijakan retensi data.</w:t>
      </w:r>
    </w:p>
    <w:p>
      <w:r>
        <w:br w:type="page"/>
      </w:r>
    </w:p>
    <w:p>
      <w:pPr>
        <w:pStyle w:val="Heading1"/>
        <w:keepNext/>
      </w:pPr>
      <w:r>
        <w:t>1. Peta Produk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CFDF5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TUJUAN PRODUK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Menggabungkan performa bisnis dan ringkasan SDM agar Manajer dapat mengendalikan divisi dan BOD dapat membandingkan seluruh divisi serta memberikan persetujuan.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Siapa Menggunakan Apa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1600"/>
        <w:gridCol w:w="3650"/>
        <w:gridCol w:w="4110"/>
      </w:tblGrid>
      <w:tr>
        <w:trPr>
          <w:tblHeader w:val="true"/>
          <w:cantSplit/>
        </w:trPr>
        <w:tc>
          <w:tcPr>
            <w:tcW w:type="dxa" w:w="16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Peran</w:t>
            </w:r>
          </w:p>
        </w:tc>
        <w:tc>
          <w:tcPr>
            <w:tcW w:type="dxa" w:w="365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Yang dilihat</w:t>
            </w:r>
          </w:p>
        </w:tc>
        <w:tc>
          <w:tcPr>
            <w:tcW w:type="dxa" w:w="411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Yang dapat dilakukan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BOD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Semua divisi, target, performa, risiko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Setujui/kembalikan target dan penilaian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Superadmin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Seluruh konfigurasi dan data sesuai izin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Kelola akses, divisi, dashboard, impor omzet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HRD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Seluruh data dan dokumen karyawan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Kelola data/dokumen karyawan; proses HR operasional dilakukan di SobatHR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Manajer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Divisi dan outlet yang menjadi tanggung jawab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Impor omzet, usulkan target, buat penilaian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User/Karyawan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Data pribadi yang diizinkan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Melihat profil, jadwal, absensi, cuti, kontrak, hasil final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Batas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3300"/>
        <w:gridCol w:w="3030"/>
        <w:gridCol w:w="3030"/>
      </w:tblGrid>
      <w:tr>
        <w:trPr>
          <w:tblHeader w:val="true"/>
          <w:cantSplit/>
        </w:trPr>
        <w:tc>
          <w:tcPr>
            <w:tcW w:type="dxa" w:w="33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Sekarang - MVP</w:t>
            </w:r>
          </w:p>
        </w:tc>
        <w:tc>
          <w:tcPr>
            <w:tcW w:type="dxa" w:w="303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Berikutnya</w:t>
            </w:r>
          </w:p>
        </w:tc>
        <w:tc>
          <w:tcPr>
            <w:tcW w:type="dxa" w:w="303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Belum dikerjakan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Minimarket; dashboard Manager; impor Excel; target; rekonsiliasi; penilaian; ringkasan SDM</w:t>
            </w:r>
          </w:p>
        </w:tc>
        <w:tc>
          <w:tcPr>
            <w:tcW w:type="dxa" w:w="303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Dashboard BOD; konfigurasi divisi lain; layar HRD lengkap</w:t>
            </w:r>
          </w:p>
        </w:tc>
        <w:tc>
          <w:tcPr>
            <w:tcW w:type="dxa" w:w="303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Integrasi POS; payroll; pengajuan cuti; mobile-first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ED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PRINSIP EKSPANSI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Divisi baru memakai komponen yang sama. Jika hanya KPI/widget berbeda, cukup konfigurasi. Jika sumber data, rumus, atau alurnya baru, tetap memerlukan coding dan UAT.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2. Screen Map</w:t>
      </w:r>
    </w:p>
    <w:p>
      <w:pPr>
        <w:keepNext w:val="0"/>
        <w:spacing w:before="0" w:after="100" w:line="259" w:lineRule="auto"/>
        <w:jc w:val="left"/>
      </w:pPr>
      <w:r>
        <w:rPr>
          <w:rFonts w:ascii="Calibri" w:hAnsi="Calibri"/>
          <w:b w:val="0"/>
          <w:i w:val="0"/>
          <w:color w:val="64748B"/>
          <w:sz w:val="19"/>
        </w:rPr>
        <w:t>Gunakan ID layar sebagai nama referensi saat memberi instruksi kepada AI atau mencatat bug.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00"/>
        <w:gridCol w:w="2100"/>
        <w:gridCol w:w="2350"/>
        <w:gridCol w:w="2600"/>
        <w:gridCol w:w="1410"/>
      </w:tblGrid>
      <w:tr>
        <w:trPr>
          <w:tblHeader w:val="true"/>
          <w:cantSplit/>
        </w:trPr>
        <w:tc>
          <w:tcPr>
            <w:tcW w:type="dxa" w:w="9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1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Route usulan</w:t>
            </w:r>
          </w:p>
        </w:tc>
        <w:tc>
          <w:tcPr>
            <w:tcW w:type="dxa" w:w="235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Layar</w:t>
            </w:r>
          </w:p>
        </w:tc>
        <w:tc>
          <w:tcPr>
            <w:tcW w:type="dxa" w:w="26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Peran utama</w:t>
            </w:r>
          </w:p>
        </w:tc>
        <w:tc>
          <w:tcPr>
            <w:tcW w:type="dxa" w:w="141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SCR-01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/dashboard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Dashboard Manajer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Manajer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SCR-02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/revenue/import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Impor Excel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Manajer, Superadmin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SCR-03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/revenue/validation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Hasil Validasi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Manajer, Superadmin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SCR-04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/reconciliation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Rekonsiliasi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Manajer, Superadmin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SCR-05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/targets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Target &amp; Realisasi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Manajer, BOD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SCR-06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/performance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Penilaian Performa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Manajer, Superadmin, BOD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SCR-07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/employees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Data Karyawan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HRD, Manajer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Ringkas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SCR-08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/approvals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Persetujuan BOD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BOD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Tahap 2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SCR-09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/executive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Dashboard BOD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BOD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Tahap 2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SCR-10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/settings/divisions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Konfigurasi Divisi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Superadmin</w:t>
            </w:r>
          </w:p>
        </w:tc>
        <w:tc>
          <w:tcPr>
            <w:tcW w:type="dxa" w:w="14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Tahap 2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Navigasi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Urutan menu</w:t>
            </w:r>
          </w:p>
        </w:tc>
        <w:tc>
          <w:tcPr>
            <w:tcW w:type="dxa" w:w="656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Tujuan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Ringkasan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Keputusan cepat dan item yang perlu tindakan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Data Karyawan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Daftar dan ringkasan karyawan; edit hanya HRD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Data Omzet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Riwayat serta impor Excel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Target &amp; Realisasi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Usulan, persetujuan, dan pencapaian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Kehadiran / Jadwal / Cuti / Kontrak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Tampilan baca untuk Manajer dan User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Penilaian Performa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Buat, ajukan, revisi, dan setujui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Laporan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Filter dan ekspor sesuai kewenangan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Access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600"/>
        <w:gridCol w:w="1400"/>
        <w:gridCol w:w="1000"/>
        <w:gridCol w:w="1050"/>
        <w:gridCol w:w="1550"/>
        <w:gridCol w:w="1760"/>
      </w:tblGrid>
      <w:tr>
        <w:trPr>
          <w:tblHeader w:val="true"/>
          <w:cantSplit/>
        </w:trPr>
        <w:tc>
          <w:tcPr>
            <w:tcW w:type="dxa" w:w="26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Aktivitas</w:t>
            </w:r>
          </w:p>
        </w:tc>
        <w:tc>
          <w:tcPr>
            <w:tcW w:type="dxa" w:w="14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Superadmin</w:t>
            </w:r>
          </w:p>
        </w:tc>
        <w:tc>
          <w:tcPr>
            <w:tcW w:type="dxa" w:w="10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BOD</w:t>
            </w:r>
          </w:p>
        </w:tc>
        <w:tc>
          <w:tcPr>
            <w:tcW w:type="dxa" w:w="105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HRD</w:t>
            </w:r>
          </w:p>
        </w:tc>
        <w:tc>
          <w:tcPr>
            <w:tcW w:type="dxa" w:w="155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Manajer</w:t>
            </w:r>
          </w:p>
        </w:tc>
        <w:tc>
          <w:tcPr>
            <w:tcW w:type="dxa" w:w="176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User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Lihat seluruh divisi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SDM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Lihat divisi sendiri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Terbatas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Impor omzet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Semua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Divisinya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Kelola data karyawan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Teknis/tercatat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Lihat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Data sendiri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Kelola absensi/jadwal/cuti/kontrak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Melalui SobatHR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Lihat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Data sendiri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Usulkan target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Setujui target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Buat penilaian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Divisinya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Setujui penilaian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Kelola divisi/dashboard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Ya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EF2F2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ATURAN WAJIB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Akses harus dibatasi berdasarkan role + division_id + outlet_id. Superadmin tidak otomatis menjadi pemilik proses HRD; akses sensitif harus beralasan dan tercatat.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Data yang Hanya Dilihat</w:t>
      </w:r>
    </w:p>
    <w:p>
      <w:pPr>
        <w:keepNext w:val="0"/>
        <w:spacing w:before="0" w:after="100" w:line="259" w:lineRule="auto"/>
        <w:jc w:val="left"/>
      </w:pPr>
      <w:r>
        <w:rPr>
          <w:rFonts w:ascii="Calibri" w:hAnsi="Calibri"/>
          <w:b w:val="0"/>
          <w:i w:val="0"/>
          <w:color w:val="0F172A"/>
          <w:sz w:val="20"/>
        </w:rPr>
        <w:t>Untuk Manajer dan User, absensi, jadwal kerja, cuti, kontrak, serta dokumen karyawan bersifat read-only. Perubahan dilakukan oleh HRD melalui SobatHR.</w:t>
      </w:r>
    </w:p>
    <w:p>
      <w:r>
        <w:br w:type="page"/>
      </w:r>
    </w:p>
    <w:p>
      <w:pPr>
        <w:pStyle w:val="Heading1"/>
        <w:keepNext/>
      </w:pPr>
      <w:r>
        <w:t>4. Blueprint Dashboard Manajer - Minimarket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800"/>
        <w:gridCol w:w="2600"/>
        <w:gridCol w:w="5960"/>
      </w:tblGrid>
      <w:tr>
        <w:trPr>
          <w:tblHeader w:val="true"/>
          <w:cantSplit/>
        </w:trPr>
        <w:tc>
          <w:tcPr>
            <w:tcW w:type="dxa" w:w="8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Zona</w:t>
            </w:r>
          </w:p>
        </w:tc>
        <w:tc>
          <w:tcPr>
            <w:tcW w:type="dxa" w:w="26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Komponen</w:t>
            </w:r>
          </w:p>
        </w:tc>
        <w:tc>
          <w:tcPr>
            <w:tcW w:type="dxa" w:w="596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Data/aksi utama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Header + filter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Divisi aktif, periode, outlet, status data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KPI cards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Omzet kotor, omzet bersih, target, pencapaian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Grafik utama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Tren omzet harian; filter outlet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Performa outlet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Peringkat dan persentase target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Ringkasan SDM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Karyawan, kehadiran, cuti, kontrak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Performa karyawan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Nilai rata-rata, sudah dinilai, menunggu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Perlu tindakan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Selisih rekonsiliasi, kontrak berakhir, penilaian tertunda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" name="Picture 1" title="Dashboard Manajer Minimarket" descr="Mockup dashboard manajer minimarket dengan KPI omzet, grafik, performa outlet, ringkasan SDM, dan tindak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anajer_minimark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59" w:lineRule="auto"/>
        <w:jc w:val="center"/>
      </w:pPr>
      <w:r>
        <w:rPr>
          <w:rFonts w:ascii="Calibri" w:hAnsi="Calibri"/>
          <w:b w:val="0"/>
          <w:i/>
          <w:color w:val="64748B"/>
          <w:sz w:val="17"/>
        </w:rPr>
        <w:t>Referensi visual SCR-01 - data pada gambar hanya ilustrasi.</w:t>
      </w:r>
    </w:p>
    <w:p>
      <w:r>
        <w:br w:type="page"/>
      </w:r>
    </w:p>
    <w:p>
      <w:pPr>
        <w:pStyle w:val="Heading1"/>
        <w:keepNext/>
      </w:pPr>
      <w:r>
        <w:t>5. Feature Contracts</w:t>
      </w:r>
    </w:p>
    <w:p>
      <w:pPr>
        <w:keepNext w:val="0"/>
        <w:spacing w:before="0" w:after="100" w:line="259" w:lineRule="auto"/>
        <w:jc w:val="left"/>
      </w:pPr>
      <w:r>
        <w:rPr>
          <w:rFonts w:ascii="Calibri" w:hAnsi="Calibri"/>
          <w:b w:val="0"/>
          <w:i w:val="0"/>
          <w:color w:val="64748B"/>
          <w:sz w:val="19"/>
        </w:rPr>
        <w:t>Setiap kontrak menjawab empat hal: input, aksi, output, dan kondisi selesai.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1900"/>
        <w:gridCol w:w="2350"/>
        <w:gridCol w:w="2750"/>
        <w:gridCol w:w="2360"/>
      </w:tblGrid>
      <w:tr>
        <w:trPr>
          <w:tblHeader w:val="true"/>
          <w:cantSplit/>
        </w:trPr>
        <w:tc>
          <w:tcPr>
            <w:tcW w:type="dxa" w:w="19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ID / Fitur</w:t>
            </w:r>
          </w:p>
        </w:tc>
        <w:tc>
          <w:tcPr>
            <w:tcW w:type="dxa" w:w="235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Input</w:t>
            </w:r>
          </w:p>
        </w:tc>
        <w:tc>
          <w:tcPr>
            <w:tcW w:type="dxa" w:w="275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Aksi sistem</w:t>
            </w:r>
          </w:p>
        </w:tc>
        <w:tc>
          <w:tcPr>
            <w:tcW w:type="dxa" w:w="236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Output / Done when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FT-01 Impor omzet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File .xlsx; divisi; periode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Validasi header, tipe, outlet, tanggal, duplikasi; tampilkan preview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Baris valid/gagal jelas; data belum masuk sebelum posting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FT-02 Posting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Hasil validasi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Simpan baris valid dan metadata impor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Dashboard berubah; audit log tercatat; duplikasi dicegah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FT-03 Rekonsiliasi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Total harian + rekap bulanan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Bandingkan per outlet/periode dan hitung selisih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Sama = selesai; berbeda = perlu konfirmasi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FT-04 Target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Target per outlet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Jumlahkan menjadi target divisi; ajukan ke BOD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Status lengkap sampai locked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FT-05 Penilaian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Karyawan, periode, indikator, nilai, catatan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Simpan draf; ajukan; kembalikan; setujui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Hasil final hanya setelah persetujuan BOD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FT-06 Read-only SDM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Data dari HRD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Filter sesuai akses; tanpa tombol edit untuk Manajer/User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Data tampil sesuai role, divisi, outlet, dan identitas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FT-07 Divisi baru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Nama, kode, outlet, manager, modul, KPI, widget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Buat konfigurasi tanpa tabel/kode khusus divisi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5"/>
              </w:rPr>
              <w:t>Divisi muncul tanpa mengganggu histori divisi lain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Status yang Harus Konsisten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Objek</w:t>
            </w:r>
          </w:p>
        </w:tc>
        <w:tc>
          <w:tcPr>
            <w:tcW w:type="dxa" w:w="726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Impor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uploaded -&gt; validated -&gt; valid/partial/rejected -&gt; posted -&gt; cancelled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Rekonsiliasi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open -&gt; needs_confirmation -&gt; confirmed -&gt; completed -&gt; locked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Target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draft -&gt; submitted -&gt; revision_required/approved -&gt; locked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Penilaian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draft -&gt; submitted -&gt; under_review -&gt; revision_required/approved -&gt; locked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6. Data Contract - Excel Omzet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350"/>
        <w:gridCol w:w="1300"/>
        <w:gridCol w:w="1400"/>
        <w:gridCol w:w="4310"/>
      </w:tblGrid>
      <w:tr>
        <w:trPr>
          <w:tblHeader w:val="true"/>
          <w:cantSplit/>
        </w:trPr>
        <w:tc>
          <w:tcPr>
            <w:tcW w:type="dxa" w:w="235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Kolom</w:t>
            </w:r>
          </w:p>
        </w:tc>
        <w:tc>
          <w:tcPr>
            <w:tcW w:type="dxa" w:w="13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Tipe</w:t>
            </w:r>
          </w:p>
        </w:tc>
        <w:tc>
          <w:tcPr>
            <w:tcW w:type="dxa" w:w="14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Wajib</w:t>
            </w:r>
          </w:p>
        </w:tc>
        <w:tc>
          <w:tcPr>
            <w:tcW w:type="dxa" w:w="431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Validasi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Tanggal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Date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Ya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Tanggal valid; berada dalam periode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Kode Divisi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Text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Ya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Cocok dengan master aktif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Kode Outlet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Text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Ya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Cocok dengan outlet aktif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Omzet Kotor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Decimal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Ya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&gt;= 0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Diskon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Decimal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Kondisional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&gt;= 0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Pengembalian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Decimal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Kondisional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&gt;= 0; ada referensi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Pajak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Decimal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Kondisional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Aturan final perlu konfirmasi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Omzet Bersih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Decimal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Ya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Sesuai rumus final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Jumlah Transaksi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Integer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Ya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&gt;= 0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Keterangan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Text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Tidak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Maksimum karakter ditentukan di ARD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Aturan Rekonsiliasi</w:t>
      </w:r>
    </w:p>
    <w:p>
      <w:pPr>
        <w:pStyle w:val="ListNumber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Data harian per outlet adalah sumber utama dashboard.</w:t>
      </w:r>
    </w:p>
    <w:p>
      <w:pPr>
        <w:pStyle w:val="ListNumber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Rekap bulanan hanya pembanding; jangan dijumlahkan kembali ke omzet.</w:t>
      </w:r>
    </w:p>
    <w:p>
      <w:pPr>
        <w:pStyle w:val="ListNumber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Bandingkan total harian dan rekap bulanan untuk outlet serta periode yang sama.</w:t>
      </w:r>
    </w:p>
    <w:p>
      <w:pPr>
        <w:pStyle w:val="ListNumber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Jika berbeda, tampilkan nilai selisih dan minta konfirmasi pengguna berwenang.</w:t>
      </w:r>
    </w:p>
    <w:p>
      <w:pPr>
        <w:pStyle w:val="ListNumber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Kunci periode setelah selisih selesai atau alasan konfirmasi disimpan.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EF2F2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CATATAN MONEY CHANGER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Volume valuta tidak boleh langsung dianggap omzet. Pisahkan volume transaksi, selisih kurs, biaya layanan, dan pendapatan bersih.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7. KPI berdasarkan Tingkat Pengukuran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ED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ATURAN DESAIN KPI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Setiap KPI wajib memiliki level: perorangan, outlet, atau divisi/BOD. KPI dari level berbeda tidak boleh dicampur dalam satu peringkat atau dianggap memiliki arti yang sama.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KPI Perorangan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050"/>
        <w:gridCol w:w="1500"/>
        <w:gridCol w:w="3100"/>
        <w:gridCol w:w="2710"/>
      </w:tblGrid>
      <w:tr>
        <w:trPr>
          <w:tblHeader w:val="true"/>
          <w:cantSplit/>
        </w:trPr>
        <w:tc>
          <w:tcPr>
            <w:tcW w:type="dxa" w:w="2050"/>
            <w:shd w:fill="15803D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KPI</w:t>
            </w:r>
          </w:p>
        </w:tc>
        <w:tc>
          <w:tcPr>
            <w:tcW w:type="dxa" w:w="1500"/>
            <w:shd w:fill="15803D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Objek</w:t>
            </w:r>
          </w:p>
        </w:tc>
        <w:tc>
          <w:tcPr>
            <w:tcW w:type="dxa" w:w="3100"/>
            <w:shd w:fill="15803D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Sumber / rumus awal</w:t>
            </w:r>
          </w:p>
        </w:tc>
        <w:tc>
          <w:tcPr>
            <w:tcW w:type="dxa" w:w="2710"/>
            <w:shd w:fill="15803D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Catatan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Tingkat kehadiran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Karyawan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Hari hadir / hari kerja x 100%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Berlaku per periode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Kedisiplinan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Karyawan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Terlambat, absen, pelanggaran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Aturan HRD belum final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Nilai performa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Karyawan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Indikator + bobot penilaian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Final setelah persetujuan BOD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Produktivitas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Karyawan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Bergantung jabatan dan divisi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 boleh diseragamkan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KPI Outlet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050"/>
        <w:gridCol w:w="1500"/>
        <w:gridCol w:w="3100"/>
        <w:gridCol w:w="2710"/>
      </w:tblGrid>
      <w:tr>
        <w:trPr>
          <w:tblHeader w:val="true"/>
          <w:cantSplit/>
        </w:trPr>
        <w:tc>
          <w:tcPr>
            <w:tcW w:type="dxa" w:w="205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KPI</w:t>
            </w:r>
          </w:p>
        </w:tc>
        <w:tc>
          <w:tcPr>
            <w:tcW w:type="dxa" w:w="15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Objek</w:t>
            </w:r>
          </w:p>
        </w:tc>
        <w:tc>
          <w:tcPr>
            <w:tcW w:type="dxa" w:w="31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Sumber / rumus awal</w:t>
            </w:r>
          </w:p>
        </w:tc>
        <w:tc>
          <w:tcPr>
            <w:tcW w:type="dxa" w:w="271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Catatan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Omzet kotor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Outlet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Jumlah omzet harian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Definisi final Finance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Omzet bersih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Outlet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Jumlah omzet bersih harian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Definisi final Finance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Pencapaian target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Outlet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Realisasi outlet / target outlet x 100%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Per periode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Jumlah transaksi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Outlet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Jumlah transaksi harian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Dari Excel/POS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Rata-rata transaksi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Outlet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Omzet / jumlah transaksi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Hindari pembagi nol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Ringkasan SDM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Outlet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Agregasi kehadiran dan status karyawan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Bukan nilai individu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KPI Divisi dan BOD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050"/>
        <w:gridCol w:w="1500"/>
        <w:gridCol w:w="3100"/>
        <w:gridCol w:w="2710"/>
      </w:tblGrid>
      <w:tr>
        <w:trPr>
          <w:tblHeader w:val="true"/>
          <w:cantSplit/>
        </w:trPr>
        <w:tc>
          <w:tcPr>
            <w:tcW w:type="dxa" w:w="2050"/>
            <w:shd w:fill="0F172A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KPI</w:t>
            </w:r>
          </w:p>
        </w:tc>
        <w:tc>
          <w:tcPr>
            <w:tcW w:type="dxa" w:w="1500"/>
            <w:shd w:fill="0F172A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Objek</w:t>
            </w:r>
          </w:p>
        </w:tc>
        <w:tc>
          <w:tcPr>
            <w:tcW w:type="dxa" w:w="3100"/>
            <w:shd w:fill="0F172A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Cara agregasi</w:t>
            </w:r>
          </w:p>
        </w:tc>
        <w:tc>
          <w:tcPr>
            <w:tcW w:type="dxa" w:w="2710"/>
            <w:shd w:fill="0F172A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Pemakaian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Total omzet divisi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Divisi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Jumlah omzet seluruh outlet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Tren dan perbandingan divisi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Pencapaian target divisi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Divisi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Total realisasi / total target x 100%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Jangan merata-ratakan persentase outlet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Peringkat outlet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Divisi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Bandingkan metrik outlet setara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Manajer melihat outlet prioritas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Risiko SDM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Divisi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Jumlah/rasio kontrak, absensi, cuti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Ringkasan; detail sesuai akses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Perbandingan divisi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BOD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KPI yang definisinya kompatibel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6"/>
              </w:rPr>
              <w:t>Tidak memaksakan semua KPI seragam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EF2F2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LARANGAN PENTING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Omzet outlet tidak boleh otomatis menjadi nilai performa seorang karyawan. Jika perusahaan ingin mengukur kontribusi penjualan individu, definisi atribusi, jabatan yang berlaku, dan sumber datanya harus disetujui lebih dahulu.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7.4 Alur Persetujuan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2500"/>
        <w:gridCol w:w="2200"/>
        <w:gridCol w:w="1700"/>
        <w:gridCol w:w="2960"/>
      </w:tblGrid>
      <w:tr>
        <w:trPr>
          <w:tblHeader w:val="true"/>
          <w:cantSplit/>
        </w:trPr>
        <w:tc>
          <w:tcPr>
            <w:tcW w:type="dxa" w:w="25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Proses</w:t>
            </w:r>
          </w:p>
        </w:tc>
        <w:tc>
          <w:tcPr>
            <w:tcW w:type="dxa" w:w="22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Pembuat</w:t>
            </w:r>
          </w:p>
        </w:tc>
        <w:tc>
          <w:tcPr>
            <w:tcW w:type="dxa" w:w="17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Penyetuju</w:t>
            </w:r>
          </w:p>
        </w:tc>
        <w:tc>
          <w:tcPr>
            <w:tcW w:type="dxa" w:w="296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Jika ditolak/dikembalikan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Target outlet/divisi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Manajer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BOD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Kembali ke Manajer dengan catatan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Penilaian performa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Manajer atau Superadmin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BOD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Kembali ke pembuat dengan catatan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2FF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PEMISAHAN TUGAS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BOD tidak mengedit nilai secara langsung. BOD menyetujui atau mengembalikan agar jejak tanggung jawab tetap jelas.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7.5 KPI Divisi Lain</w:t>
      </w:r>
    </w:p>
    <w:p>
      <w:pPr>
        <w:keepNext w:val="0"/>
        <w:spacing w:before="0" w:after="100" w:line="259" w:lineRule="auto"/>
        <w:jc w:val="left"/>
      </w:pPr>
      <w:r>
        <w:rPr>
          <w:rFonts w:ascii="Calibri" w:hAnsi="Calibri"/>
          <w:b w:val="0"/>
          <w:i w:val="0"/>
          <w:color w:val="0F172A"/>
          <w:sz w:val="20"/>
        </w:rPr>
        <w:t>Jangan menebak KPI final. Gunakan placeholder sampai Manajer divisi dan BOD menyetujui definisi, rumus, sumber, frekuensi, dan targetnya.</w:t>
      </w:r>
    </w:p>
    <w:p>
      <w:r>
        <w:br w:type="page"/>
      </w:r>
    </w:p>
    <w:p>
      <w:pPr>
        <w:pStyle w:val="Heading1"/>
        <w:keepNext/>
      </w:pPr>
      <w:r>
        <w:t>8. Definition of Done - MVP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Manajer hanya melihat divisi/outlet dalam kewenangannya.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File valid dapat dipreview dan diposting; file gagal menunjukkan lokasi serta alasan kesalahan.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Data bulanan tidak menggandakan omzet.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Selisih rekonsiliasi terlihat dan memerlukan konfirmasi.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Target outlet terakumulasi menjadi target divisi.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BOD dapat menyetujui atau mengembalikan target dan penilaian dengan catatan.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Hasil final terkunci dan perubahan penting tercatat dalam audit log.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Divisi baru dapat ditambahkan dengan konfigurasi jika memakai modul/KPI yang tersedia.</w:t>
      </w:r>
    </w:p>
    <w:p>
      <w:pPr>
        <w:pStyle w:val="ListBullet"/>
        <w:spacing w:after="80" w:line="259" w:lineRule="auto"/>
      </w:pPr>
      <w:r>
        <w:rPr>
          <w:rFonts w:ascii="Calibri" w:hAnsi="Calibri"/>
          <w:b w:val="0"/>
          <w:i w:val="0"/>
          <w:color w:val="0F172A"/>
          <w:sz w:val="20"/>
        </w:rPr>
        <w:t>Penonaktifan divisi/outlet/KPI tidak menghapus histori.</w:t>
      </w:r>
    </w:p>
    <w:p>
      <w:pPr>
        <w:pStyle w:val="Heading2"/>
        <w:keepNext/>
      </w:pPr>
      <w:r>
        <w:t>8.1 Prompt Starter untuk Vibe Coding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2FF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PROMPT 01 - APP SHELL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Bangun app shell desktop untuk Analytic &amp; Reporting Dashboard Divisi. Gunakan sidebar, header, filter divisi/periode/outlet, role-based navigation, dan state loading/empty/error. Jangan hubungkan database dulu; gunakan data mock.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2FF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PROMPT 02 - SCR-01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Implementasikan Dashboard Manajer Minimarket berdasarkan Blueprint bagian 4. Buat KPI cards, grafik tren, performa outlet, ringkasan SDM, ringkasan penilaian, dan daftar perlu tindakan. Gunakan data mock realistis.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2FF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PROMPT 03 - FT-01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Implementasikan alur impor Excel: upload -&gt; mapping/validation -&gt; preview valid/gagal -&gt; posting. Setiap error wajib menunjukkan nomor baris, kolom, nilai, dan pesan yang dapat ditindaklanjuti.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259" w:lineRule="auto"/>
        <w:jc w:val="left"/>
      </w:pPr>
      <w:r>
        <w:rPr>
          <w:rFonts w:ascii="Calibri" w:hAnsi="Calibri"/>
          <w:b w:val="0"/>
          <w:i/>
          <w:color w:val="64748B"/>
          <w:sz w:val="18"/>
        </w:rPr>
        <w:t>Prompt teknis yang lebih rinci akan disusun di ARD setelah stack, database, autentikasi, dan pola API ditetapkan.</w:t>
      </w:r>
    </w:p>
    <w:p>
      <w:r>
        <w:br w:type="page"/>
      </w:r>
    </w:p>
    <w:p>
      <w:pPr>
        <w:pStyle w:val="Heading1"/>
        <w:keepNext/>
      </w:pPr>
      <w:r>
        <w:t>9. Open Decisions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5000"/>
        <w:gridCol w:w="2200"/>
        <w:gridCol w:w="2160"/>
      </w:tblGrid>
      <w:tr>
        <w:trPr>
          <w:tblHeader w:val="true"/>
          <w:cantSplit/>
        </w:trPr>
        <w:tc>
          <w:tcPr>
            <w:tcW w:type="dxa" w:w="50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Keputusan yang dibutuhkan</w:t>
            </w:r>
          </w:p>
        </w:tc>
        <w:tc>
          <w:tcPr>
            <w:tcW w:type="dxa" w:w="22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Pemilik</w:t>
            </w:r>
          </w:p>
        </w:tc>
        <w:tc>
          <w:tcPr>
            <w:tcW w:type="dxa" w:w="216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Dibutuhkan sebelum</w:t>
            </w:r>
          </w:p>
        </w:tc>
      </w:tr>
      <w:tr>
        <w:trPr>
          <w:cantSplit/>
        </w:trPr>
        <w:tc>
          <w:tcPr>
            <w:tcW w:type="dxa" w:w="5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Nama perusahaan dan nama resmi sistem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Manajemen / IT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Finalisasi PRD</w:t>
            </w:r>
          </w:p>
        </w:tc>
      </w:tr>
      <w:tr>
        <w:trPr>
          <w:cantSplit/>
        </w:trPr>
        <w:tc>
          <w:tcPr>
            <w:tcW w:type="dxa" w:w="5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Rumus omzet kotor dan bersih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Finance / Accounting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Database &amp; impor</w:t>
            </w:r>
          </w:p>
        </w:tc>
      </w:tr>
      <w:tr>
        <w:trPr>
          <w:cantSplit/>
        </w:trPr>
        <w:tc>
          <w:tcPr>
            <w:tcW w:type="dxa" w:w="5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Daftar outlet dan kode unik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Operasional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Uji template Excel</w:t>
            </w:r>
          </w:p>
        </w:tc>
      </w:tr>
      <w:tr>
        <w:trPr>
          <w:cantSplit/>
        </w:trPr>
        <w:tc>
          <w:tcPr>
            <w:tcW w:type="dxa" w:w="5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KPI final per divisi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Manager Divisi / BOD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Ekspansi divisi</w:t>
            </w:r>
          </w:p>
        </w:tc>
      </w:tr>
      <w:tr>
        <w:trPr>
          <w:cantSplit/>
        </w:trPr>
        <w:tc>
          <w:tcPr>
            <w:tcW w:type="dxa" w:w="5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Indikator dan bobot penilaian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BOD / HRD / Manager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Modul performa</w:t>
            </w:r>
          </w:p>
        </w:tc>
      </w:tr>
      <w:tr>
        <w:trPr>
          <w:cantSplit/>
        </w:trPr>
        <w:tc>
          <w:tcPr>
            <w:tcW w:type="dxa" w:w="5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Visibilitas hasil kepada karyawan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BOD / HRD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UAT</w:t>
            </w:r>
          </w:p>
        </w:tc>
      </w:tr>
      <w:tr>
        <w:trPr>
          <w:cantSplit/>
        </w:trPr>
        <w:tc>
          <w:tcPr>
            <w:tcW w:type="dxa" w:w="5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Retensi, backup, dan recovery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IT / Legal / HRD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Produksi</w:t>
            </w:r>
          </w:p>
        </w:tc>
      </w:tr>
      <w:tr>
        <w:trPr>
          <w:cantSplit/>
        </w:trPr>
        <w:tc>
          <w:tcPr>
            <w:tcW w:type="dxa" w:w="50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Stack, database, hosting, dan autentikasi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IT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7"/>
              </w:rPr>
              <w:t>ARD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Dokumen Berikutnya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BD5E1"/>
          <w:left w:val="single" w:sz="5" w:color="CBD5E1"/>
          <w:bottom w:val="single" w:sz="5" w:color="CBD5E1"/>
          <w:right w:val="single" w:sz="5" w:color="CBD5E1"/>
          <w:insideH w:val="single" w:sz="5" w:color="CBD5E1"/>
          <w:insideV w:val="single" w:sz="5" w:color="CBD5E1"/>
        </w:tblBorders>
      </w:tblPr>
      <w:tblGrid>
        <w:gridCol w:w="900"/>
        <w:gridCol w:w="3400"/>
        <w:gridCol w:w="5060"/>
      </w:tblGrid>
      <w:tr>
        <w:trPr>
          <w:tblHeader w:val="true"/>
          <w:cantSplit/>
        </w:trPr>
        <w:tc>
          <w:tcPr>
            <w:tcW w:type="dxa" w:w="9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Urutan</w:t>
            </w:r>
          </w:p>
        </w:tc>
        <w:tc>
          <w:tcPr>
            <w:tcW w:type="dxa" w:w="340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Dokumen</w:t>
            </w:r>
          </w:p>
        </w:tc>
        <w:tc>
          <w:tcPr>
            <w:tcW w:type="dxa" w:w="5060"/>
            <w:shd w:fill="2563EB"/>
            <w:tcMar>
              <w:top w:w="120" w:type="dxa"/>
              <w:start w:w="12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Fokus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UI/UX Specification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Detail setiap layar, komponen, state, dan interaksi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ARD - Application Architecture Document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  <w:shd w:fill="F8FAFC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Stack, arsitektur, database, API, keamanan, deployment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UAT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Skenario uji dan persetujuan pengguna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7ED"/>
            <w:tcMar>
              <w:top w:w="150" w:type="dxa"/>
              <w:start w:w="12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GATE SEBELUM CODING DATA NYATA</w:t>
            </w:r>
          </w:p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Mockup boleh mulai sekarang. Database dan alur persetujuan produksi jangan dibuat sebelum rumus omzet, akses, serta indikator performa disetujui.</w:t>
            </w:r>
          </w:p>
        </w:tc>
      </w:tr>
    </w:tbl>
    <w:p>
      <w:pPr>
        <w:spacing w:after="40"/>
      </w:pPr>
    </w:p>
    <w:p>
      <w:pPr>
        <w:keepNext w:val="0"/>
        <w:spacing w:before="280" w:after="100" w:line="259" w:lineRule="auto"/>
        <w:jc w:val="center"/>
      </w:pPr>
      <w:r>
        <w:rPr>
          <w:rFonts w:ascii="Calibri" w:hAnsi="Calibri"/>
          <w:b/>
          <w:i w:val="0"/>
          <w:color w:val="2563EB"/>
          <w:sz w:val="20"/>
        </w:rPr>
        <w:t>Lanjutan: Integrasi SobatHR</w:t>
      </w:r>
    </w:p>
    <w:p>
      <w:r>
        <w:br w:type="page"/>
      </w:r>
    </w:p>
    <w:p>
      <w:pPr>
        <w:pStyle w:val="Heading1"/>
      </w:pPr>
      <w:r>
        <w:t>10. SobatHR Integration Baseline</w:t>
      </w:r>
    </w:p>
    <w:p>
      <w:pPr>
        <w:spacing w:after="160"/>
        <w:ind w:left="200"/>
      </w:pPr>
      <w:r>
        <w:rPr>
          <w:b/>
          <w:color w:val="1F5EFF"/>
        </w:rPr>
        <w:t xml:space="preserve">Keputusan: </w:t>
      </w:r>
      <w:r>
        <w:t>SobatHR menjadi system of record untuk data HR. Dashboard tidak menggantikan proses HR di SobatHR; fase awal integrasi membaca data melalui impor Excel/CSV sampai akses API tersedia.</w:t>
      </w:r>
    </w:p>
    <w:p>
      <w:pPr>
        <w:pStyle w:val="Heading2"/>
      </w:pPr>
      <w:r>
        <w:t>10.1 Product Boundary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5560"/>
      </w:tblGrid>
      <w:tr>
        <w:trPr>
          <w:tblHeader w:val="true"/>
        </w:trPr>
        <w:tc>
          <w:tcPr>
            <w:tcW w:type="dxa" w:w="190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190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Sumber utama</w:t>
            </w:r>
          </w:p>
        </w:tc>
        <w:tc>
          <w:tcPr>
            <w:tcW w:type="dxa" w:w="556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Perilaku dashboard</w:t>
            </w:r>
          </w:p>
        </w:tc>
      </w:tr>
      <w:tr>
        <w:tc>
          <w:tcPr>
            <w:tcW w:type="dxa" w:w="19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Absensi</w:t>
            </w:r>
          </w:p>
        </w:tc>
        <w:tc>
          <w:tcPr>
            <w:tcW w:type="dxa" w:w="19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SobatHR</w:t>
            </w:r>
          </w:p>
        </w:tc>
        <w:tc>
          <w:tcPr>
            <w:tcW w:type="dxa" w:w="55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Tampilkan ringkasan, tren, keterlambatan, dan anomali; tanpa edit.</w:t>
            </w:r>
          </w:p>
        </w:tc>
      </w:tr>
      <w:tr>
        <w:tc>
          <w:tcPr>
            <w:tcW w:type="dxa" w:w="19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Perizinan &amp; cuti</w:t>
            </w:r>
          </w:p>
        </w:tc>
        <w:tc>
          <w:tcPr>
            <w:tcW w:type="dxa" w:w="19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SobatHR</w:t>
            </w:r>
          </w:p>
        </w:tc>
        <w:tc>
          <w:tcPr>
            <w:tcW w:type="dxa" w:w="55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Tampilkan status dan agregasi; tanpa persetujuan atau perubahan.</w:t>
            </w:r>
          </w:p>
        </w:tc>
      </w:tr>
      <w:tr>
        <w:tc>
          <w:tcPr>
            <w:tcW w:type="dxa" w:w="19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Lembur</w:t>
            </w:r>
          </w:p>
        </w:tc>
        <w:tc>
          <w:tcPr>
            <w:tcW w:type="dxa" w:w="19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SobatHR</w:t>
            </w:r>
          </w:p>
        </w:tc>
        <w:tc>
          <w:tcPr>
            <w:tcW w:type="dxa" w:w="55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Tampilkan jam serta tren lembur; tanpa proses pengajuan.</w:t>
            </w:r>
          </w:p>
        </w:tc>
      </w:tr>
      <w:tr>
        <w:tc>
          <w:tcPr>
            <w:tcW w:type="dxa" w:w="19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Sakit</w:t>
            </w:r>
          </w:p>
        </w:tc>
        <w:tc>
          <w:tcPr>
            <w:tcW w:type="dxa" w:w="19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SobatHR</w:t>
            </w:r>
          </w:p>
        </w:tc>
        <w:tc>
          <w:tcPr>
            <w:tcW w:type="dxa" w:w="55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Tampilkan status dan agregasi terbatas; hindari detail medis.</w:t>
            </w:r>
          </w:p>
        </w:tc>
      </w:tr>
      <w:tr>
        <w:tc>
          <w:tcPr>
            <w:tcW w:type="dxa" w:w="19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Payroll</w:t>
            </w:r>
          </w:p>
        </w:tc>
        <w:tc>
          <w:tcPr>
            <w:tcW w:type="dxa" w:w="19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SobatHR</w:t>
            </w:r>
          </w:p>
        </w:tc>
        <w:tc>
          <w:tcPr>
            <w:tcW w:type="dxa" w:w="55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Hanya ringkasan bulanan untuk BOD; tanpa slip gaji dan tanpa detail per karyawan.</w:t>
            </w:r>
          </w:p>
        </w:tc>
      </w:tr>
    </w:tbl>
    <w:p/>
    <w:p>
      <w:pPr>
        <w:pStyle w:val="Heading2"/>
      </w:pPr>
      <w:r>
        <w:t>10.2 Initial Integration User Stories</w:t>
      </w:r>
    </w:p>
    <w:p>
      <w:pPr>
        <w:pStyle w:val="ListBullet"/>
      </w:pPr>
      <w:r>
        <w:t>Sebagai HRD, saya dapat mengimpor file ekspor SobatHR dan melihat hasil validasinya sebelum data dipublikasikan.</w:t>
      </w:r>
    </w:p>
    <w:p>
      <w:pPr>
        <w:pStyle w:val="ListBullet"/>
      </w:pPr>
      <w:r>
        <w:t>Sebagai Manager, saya dapat melihat ringkasan tenaga kerja pada divisi atau outlet yang menjadi cakupan saya.</w:t>
      </w:r>
    </w:p>
    <w:p>
      <w:pPr>
        <w:pStyle w:val="ListBullet"/>
      </w:pPr>
      <w:r>
        <w:t>Sebagai BOD, saya dapat melihat ringkasan payroll bulanan perusahaan/divisi tanpa membuka detail gaji individu.</w:t>
      </w:r>
    </w:p>
    <w:p>
      <w:pPr>
        <w:pStyle w:val="ListBullet"/>
      </w:pPr>
      <w:r>
        <w:t>Sebagai Superadmin, saya dapat melihat status teknis impor dan audit, tetapi akses data tetap mengikuti kebijakan peran.</w:t>
      </w:r>
    </w:p>
    <w:p>
      <w:pPr>
        <w:pStyle w:val="Heading2"/>
      </w:pPr>
      <w:r>
        <w:t>10.3 Acceptance Criteria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6660"/>
        <w:gridCol w:w="1600"/>
      </w:tblGrid>
      <w:tr>
        <w:trPr>
          <w:tblHeader w:val="true"/>
        </w:trPr>
        <w:tc>
          <w:tcPr>
            <w:tcW w:type="dxa" w:w="110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66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Kriteria penerimaan</w:t>
            </w:r>
          </w:p>
        </w:tc>
        <w:tc>
          <w:tcPr>
            <w:tcW w:type="dxa" w:w="1600"/>
            <w:shd w:fill="1F5E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Prioritas</w:t>
            </w:r>
          </w:p>
        </w:tc>
      </w:tr>
      <w:tr>
        <w:tc>
          <w:tcPr>
            <w:tcW w:type="dxa" w:w="11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HR-01</w:t>
            </w:r>
          </w:p>
        </w:tc>
        <w:tc>
          <w:tcPr>
            <w:tcW w:type="dxa" w:w="66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File Excel/CSV ditolak jika periode, identitas karyawan, atau kolom wajib tidak valid.</w:t>
            </w:r>
          </w:p>
        </w:tc>
        <w:tc>
          <w:tcPr>
            <w:tcW w:type="dxa" w:w="1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11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HR-02</w:t>
            </w:r>
          </w:p>
        </w:tc>
        <w:tc>
          <w:tcPr>
            <w:tcW w:type="dxa" w:w="66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Impor ulang file yang sama tidak menghasilkan data ganda.</w:t>
            </w:r>
          </w:p>
        </w:tc>
        <w:tc>
          <w:tcPr>
            <w:tcW w:type="dxa" w:w="16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11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HR-03</w:t>
            </w:r>
          </w:p>
        </w:tc>
        <w:tc>
          <w:tcPr>
            <w:tcW w:type="dxa" w:w="66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Setiap angka menampilkan periode data dan waktu sinkronisasi terakhir.</w:t>
            </w:r>
          </w:p>
        </w:tc>
        <w:tc>
          <w:tcPr>
            <w:tcW w:type="dxa" w:w="1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11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HR-04</w:t>
            </w:r>
          </w:p>
        </w:tc>
        <w:tc>
          <w:tcPr>
            <w:tcW w:type="dxa" w:w="66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Manager tidak dapat melihat payroll maupun data di luar scope divisi/outlet.</w:t>
            </w:r>
          </w:p>
        </w:tc>
        <w:tc>
          <w:tcPr>
            <w:tcW w:type="dxa" w:w="16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11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HR-05</w:t>
            </w:r>
          </w:p>
        </w:tc>
        <w:tc>
          <w:tcPr>
            <w:tcW w:type="dxa" w:w="666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BOD hanya melihat total dan metrik agregat payroll; detail per karyawan tidak tersedia.</w:t>
            </w:r>
          </w:p>
        </w:tc>
        <w:tc>
          <w:tcPr>
            <w:tcW w:type="dxa" w:w="1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11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HR-06</w:t>
            </w:r>
          </w:p>
        </w:tc>
        <w:tc>
          <w:tcPr>
            <w:tcW w:type="dxa" w:w="666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Perubahan menuju API tidak mengubah kontrak data pada halaman dashboard.</w:t>
            </w:r>
          </w:p>
        </w:tc>
        <w:tc>
          <w:tcPr>
            <w:tcW w:type="dxa" w:w="1600"/>
            <w:shd w:fill="F6F8F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4" w:color="C7D2E5"/>
              <w:start w:val="single" w:sz="4" w:color="C7D2E5"/>
              <w:bottom w:val="single" w:sz="4" w:color="C7D2E5"/>
              <w:end w:val="single" w:sz="4" w:color="C7D2E5"/>
              <w:insideH w:val="single" w:sz="4" w:color="C7D2E5"/>
              <w:insideV w:val="single" w:sz="4" w:color="C7D2E5"/>
            </w:tcBorders>
          </w:tcPr>
          <w:p>
            <w:pPr>
              <w:jc w:val="left"/>
            </w:pPr>
            <w:r>
              <w:rPr>
                <w:color w:val="1F2937"/>
                <w:sz w:val="17"/>
              </w:rPr>
              <w:t>Should</w:t>
            </w:r>
          </w:p>
        </w:tc>
      </w:tr>
    </w:tbl>
    <w:p/>
    <w:p>
      <w:pPr>
        <w:pStyle w:val="Heading2"/>
      </w:pPr>
      <w:r>
        <w:t>10.4 Open Decisions</w:t>
      </w:r>
    </w:p>
    <w:p>
      <w:pPr>
        <w:pStyle w:val="ListBullet"/>
      </w:pPr>
      <w:r>
        <w:t>Ketersediaan dan dokumentasi API SobatHR perlu diverifikasi kepada penyedia atau administrator perusahaan.</w:t>
      </w:r>
    </w:p>
    <w:p>
      <w:pPr>
        <w:pStyle w:val="ListBullet"/>
      </w:pPr>
      <w:r>
        <w:t>Template kolom ekspor, kode status, identitas unik karyawan, dan zona waktu file belum tersedia.</w:t>
      </w:r>
    </w:p>
    <w:p>
      <w:pPr>
        <w:pStyle w:val="ListBullet"/>
      </w:pPr>
      <w:r>
        <w:t>Jadwal impor, penanggung jawab operasional, batas keterlambatan data, dan retensi file mentah perlu ditetapkan.</w:t>
      </w:r>
    </w:p>
    <w:p>
      <w:pPr>
        <w:pStyle w:val="ListBullet"/>
      </w:pPr>
      <w:r>
        <w:t>Definisi komponen payroll yang boleh masuk ringkasan BOD perlu disetujui HRD/BOD sebelum implementasi.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footerReference w:type="first" r:id="rId13"/>
      <w:headerReference w:type="first" r:id="rId15"/>
      <w:pgSz w:w="12240" w:h="15840"/>
      <w:pgMar w:top="1080" w:right="1440" w:bottom="1080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48B"/>
        <w:sz w:val="17"/>
      </w:rPr>
      <w:t>Versi 0.4  |  Analytic &amp; Reporting Dashboard Divisi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48B"/>
        <w:sz w:val="17"/>
      </w:rPr>
      <w:t>Versi 0.4  |  Analytic &amp; Reporting Dashboard Divisi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748B"/>
        <w:sz w:val="17"/>
      </w:rPr>
      <w:t>Dokumen Internal  |  Versi 0.4  |  21 Agustus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4748B"/>
        <w:sz w:val="17"/>
      </w:rPr>
      <w:t>VIBE CODING PRD  |  INTERNAL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4748B"/>
        <w:sz w:val="17"/>
      </w:rPr>
      <w:t>VIBE CODING PRD  |  INTERNAL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504" w:hanging="259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504" w:hanging="259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1.png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 Coding PRD - Analytic &amp; Reporting Dashboard Divisi</dc:title>
  <dc:subject>PRD visual dan build-ready untuk dashboard multi-divisi; MVP Minimarket; KPI perorangan, outlet, dan divisi.</dc:subject>
  <dc:creator>Tim Proyek</dc:creator>
  <cp:keywords>PRD, vibe coding, dashboard, multi-divisi, omzet, karyawan,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