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w:rsidR="1B0922BB" w:rsidP="2F5B25E0" w:rsidRDefault="1B0922BB" w14:paraId="40AA2099" w14:textId="33614E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0922BB">
        <w:rPr/>
        <w:t>NextField</w:t>
      </w:r>
      <w:r w:rsidR="1B0922BB">
        <w:rPr/>
        <w:t xml:space="preserve"> EOL to </w:t>
      </w:r>
      <w:r w:rsidR="1B0922BB">
        <w:rPr/>
        <w:t>NextField</w:t>
      </w:r>
      <w:r w:rsidR="1B0922BB">
        <w:rPr/>
        <w:t xml:space="preserve"> Opportunity Four Discussion Items/Infographics</w:t>
      </w:r>
    </w:p>
    <w:p xmlns:wp14="http://schemas.microsoft.com/office/word/2010/wordml" w14:paraId="145B56FE" wp14:textId="77777777">
      <w:r>
        <w:drawing>
          <wp:inline xmlns:wp14="http://schemas.microsoft.com/office/word/2010/wordprocessingDrawing" distT="0" distB="0" distL="0" distR="0" wp14:anchorId="1B5DCEA3" wp14:editId="7777777">
            <wp:extent cx="5734050" cy="3819525"/>
            <wp:effectExtent l="0" t="0" r="0" b="0"/>
            <wp:docPr id="1" name="" descr="Designer Image" title="Design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rmal"/>
        </w:rPr>
        <w:t xml:space="preserve"> I'll create four highly detailed infographics — one for each of the four Thursday NF call items — all in EE's brand style (dark navy, lime green, sky blue, teal) for a cohesive boardroom-ready set.Here are the four boardroom-ready infographics — one for each Thursday NF call item — in a consistent EE/NextField brand style so they work as a cohesive set alongside the earlier mapping visual.</w:t>
      </w:r>
    </w:p>
    <w:p xmlns:wp14="http://schemas.microsoft.com/office/word/2010/wordml" w14:paraId="211592E6" wp14:textId="77777777">
      <w:r>
        <w:rPr>
          <w:b/>
          <w:bCs/>
          <w:rStyle w:val="Normal"/>
        </w:rPr>
        <w:t xml:space="preserve">Item 1 — Proof of Concept, Not a Rebuild</w:t>
      </w:r>
      <w:r>
        <w:rPr>
          <w:rStyle w:val="Normal"/>
        </w:rPr>
        <w:t xml:space="preserve"> Shows the three source engines (9-criteria scoring, SPOF/site-risk model, $780M capital forecast) flowing into the NextField Screener and Strategy Unlock, reinforcing that the tool is already validated with real Flexential data.</w:t>
      </w:r>
    </w:p>
    <w:p xmlns:wp14="http://schemas.microsoft.com/office/word/2010/wordml" w14:paraId="449B07BB" wp14:textId="77777777">
      <w:r>
        <w:rPr>
          <w:b/>
          <w:bCs/>
          <w:rStyle w:val="Normal"/>
        </w:rPr>
        <w:t xml:space="preserve">Item 2 — Standing It Up = Three Work Items</w:t>
      </w:r>
      <w:r>
        <w:rPr>
          <w:rStyle w:val="Normal"/>
        </w:rPr>
        <w:t xml:space="preserve"> The three-panel build path: port the scoring into the Dataverse Asset Record, wire the forecast into Strategy Unlock capital sequencing, and rebuild the Power BI views as NextField reports.</w:t>
      </w:r>
    </w:p>
    <w:p xmlns:wp14="http://schemas.microsoft.com/office/word/2010/wordml" w14:paraId="39B7ABE9" wp14:textId="77777777">
      <w:r>
        <w:rPr>
          <w:b/>
          <w:bCs/>
          <w:rStyle w:val="Normal"/>
        </w:rPr>
        <w:t xml:space="preserve">Item 3 — Monetize the Annual Refresh</w:t>
      </w:r>
      <w:r>
        <w:rPr>
          <w:rStyle w:val="Normal"/>
        </w:rPr>
        <w:t xml:space="preserve"> Positions the yearly refresh as NextField Sustain / Portfolio Asset Intelligence Service, with the quarterly cadence and the ~$79–86K first-year recurring figure as the retention play.</w:t>
      </w:r>
    </w:p>
    <w:p xmlns:wp14="http://schemas.microsoft.com/office/word/2010/wordml" w14:paraId="59FB3046" wp14:textId="77777777">
      <w:r>
        <w:rPr>
          <w:b/>
          <w:bCs/>
          <w:rStyle w:val="Normal"/>
        </w:rPr>
        <w:t xml:space="preserve">Item 4 — Data Organization Is the Gating Item</w:t>
      </w:r>
      <w:r>
        <w:rPr>
          <w:rStyle w:val="Normal"/>
        </w:rPr>
        <w:t xml:space="preserve"> The funnel from messy legacy files through a confidence-level data spec into clean Asset Record fields, with the amber call-to-action for Thursday's needed output — a spec for which EOL records feed the Asset Record.</w:t>
      </w:r>
    </w:p>
    <w:p xmlns:wp14="http://schemas.microsoft.com/office/word/2010/wordml" w14:paraId="36C57447" wp14:textId="77777777">
      <w:r>
        <w:rPr>
          <w:rStyle w:val="Normal"/>
        </w:rPr>
        <w:t xml:space="preserve">Want me to compile all five visuals (the mapping + these four) into a single </w:t>
      </w:r>
      <w:r>
        <w:rPr>
          <w:b/>
          <w:bCs/>
          <w:rStyle w:val="Normal"/>
        </w:rPr>
        <w:t xml:space="preserve">PowerPoint deck</w:t>
      </w:r>
      <w:r>
        <w:rPr>
          <w:rStyle w:val="Normal"/>
        </w:rPr>
        <w:t xml:space="preserve"> with speaker notes for each slide, so you can walk Leo and Joe through it on the call? I could also add a short cover slide and a closing "asks/decisions" slide to frame the discussion.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325297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B977536"/>
  <w15:docId w15:val="{F3E9FE9F-D772-4D54-B018-5FE22C9D7633}"/>
  <w:rsids>
    <w:rsidRoot w:val="1B0922BB"/>
    <w:rsid w:val="1B0922BB"/>
    <w:rsid w:val="2F5B25E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qwbuc8ihsyv0g6rnlxh3w.pn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086722275AD4F854A79DF0168EA30" ma:contentTypeVersion="9" ma:contentTypeDescription="Create a new document." ma:contentTypeScope="" ma:versionID="61024747421f13d1caf4ac30139695c1">
  <xsd:schema xmlns:xsd="http://www.w3.org/2001/XMLSchema" xmlns:xs="http://www.w3.org/2001/XMLSchema" xmlns:p="http://schemas.microsoft.com/office/2006/metadata/properties" xmlns:ns2="7b5e641e-3886-4d47-a8c6-7b8cb3c79ec1" targetNamespace="http://schemas.microsoft.com/office/2006/metadata/properties" ma:root="true" ma:fieldsID="b47981345144b1ed122cef0c9f642991" ns2:_="">
    <xsd:import namespace="7b5e641e-3886-4d47-a8c6-7b8cb3c7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e641e-3886-4d47-a8c6-7b8cb3c7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3d5e90-751f-4aac-a7d8-7f17295265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5e641e-3886-4d47-a8c6-7b8cb3c79e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21EDE6-1E15-430E-A067-402A78D24B12}"/>
</file>

<file path=customXml/itemProps2.xml><?xml version="1.0" encoding="utf-8"?>
<ds:datastoreItem xmlns:ds="http://schemas.openxmlformats.org/officeDocument/2006/customXml" ds:itemID="{7D32BC5F-C2A0-438F-ADB4-A8D28B992A21}"/>
</file>

<file path=customXml/itemProps3.xml><?xml version="1.0" encoding="utf-8"?>
<ds:datastoreItem xmlns:ds="http://schemas.openxmlformats.org/officeDocument/2006/customXml" ds:itemID="{7DC65086-97B0-4A30-BCB8-BCA5134C65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Eric Johnson</cp:lastModifiedBy>
  <cp:revision>2</cp:revision>
  <dcterms:created xsi:type="dcterms:W3CDTF">2026-09-03T04:09:58Z</dcterms:created>
  <dcterms:modified xsi:type="dcterms:W3CDTF">2026-09-03T04:25:21Z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0x0101001DA086722275AD4F854A79DF0168EA30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