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="68B3D0E0" w:rsidP="4C6224B8" w:rsidRDefault="68B3D0E0" w14:paraId="5EDF4779" w14:textId="6C0C90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C6224B8" w:rsidR="68B3D0E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NextField</w:t>
      </w:r>
      <w:r w:rsidRPr="4C6224B8" w:rsidR="68B3D0E0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EOL Opportunity Review Sources</w:t>
      </w:r>
    </w:p>
    <w:p xmlns:wp14="http://schemas.microsoft.com/office/word/2010/wordml" w14:paraId="1F7415C4" wp14:textId="77777777">
      <w:r>
        <w:rPr>
          <w:rStyle w:val="Normal"/>
        </w:rPr>
        <w:t xml:space="preserve">I'll start by reviewing the email and attached tools from Leo, then search across your enterprise for related end-of-life business planning materials.I've reviewed Leo's email and both attachments in depth. Now let me search across your enterprise for related end-of-life business planning, GTM, strategy, and NextField materials.I have a rich picture now. Let me pull two key strategy documents to sharpen how the EOL tool specifically maps into the NextField offering.This is a rich, well-documented thread. Here's what I found after reviewing Leo's email, both attached tools, and the surrounding NextField/Flexential business materials across your enterprise.</w:t>
      </w:r>
    </w:p>
    <w:p xmlns:wp14="http://schemas.microsoft.com/office/word/2010/wordml" w14:paraId="279AE0BB" wp14:textId="77777777">
      <w:pPr>
        <w:pStyle w:val="Heading2"/>
      </w:pPr>
      <w:r>
        <w:rPr>
          <w:rStyle w:val="Normal"/>
        </w:rPr>
        <w:t xml:space="preserve">What Leo actually sent you</w:t>
      </w:r>
    </w:p>
    <w:p xmlns:wp14="http://schemas.microsoft.com/office/word/2010/wordml" w14:paraId="70668D03" wp14:textId="77777777">
      <w:r>
        <w:rPr>
          <w:rStyle w:val="Normal"/>
        </w:rPr>
        <w:t xml:space="preserve">Leo's note frames this simply: the </w:t>
      </w:r>
      <w:hyperlink w:history="1" r:id="rId8i5kh5afaiykklcjrkhpy">
        <w:r>
          <w:rPr>
            <w:rStyle w:val="Hyperlink"/>
          </w:rPr>
          <w:t xml:space="preserve">End of Life Tool.docx</w:t>
        </w:r>
      </w:hyperlink>
      <w:r>
        <w:rPr>
          <w:rStyle w:val="Normal"/>
        </w:rPr>
        <w:t xml:space="preserve"> is a set of Power BI screenshots, and the </w:t>
      </w:r>
      <w:hyperlink w:history="1" r:id="rIdusvnialw8cyfh1zwetin_">
        <w:r>
          <w:rPr>
            <w:rStyle w:val="Hyperlink"/>
          </w:rPr>
          <w:t xml:space="preserve">Flex Asset EOL and Site Risk Evaluation Tool Ver 3.0 3.6.25.xlsx</w:t>
        </w:r>
      </w:hyperlink>
      <w:r>
        <w:rPr>
          <w:rStyle w:val="Normal"/>
        </w:rPr>
        <w:t xml:space="preserve"> is "the brains behind the tool." It's </w:t>
      </w:r>
      <w:r>
        <w:rPr>
          <w:b/>
          <w:bCs/>
          <w:rStyle w:val="Normal"/>
        </w:rPr>
        <w:t xml:space="preserve">provided to Flexential today, with annual refreshes performed by EE</w:t>
      </w:r>
      <w:r>
        <w:rPr>
          <w:rStyle w:val="Normal"/>
        </w:rPr>
        <w:t xml:space="preserve">, and his stated desired future state is for the tool to </w:t>
      </w:r>
      <w:r>
        <w:rPr>
          <w:b/>
          <w:bCs/>
          <w:rStyle w:val="Normal"/>
        </w:rPr>
        <w:t xml:space="preserve">"live within the NF environment you are building."</w:t>
      </w:r>
      <w:r>
        <w:rPr>
          <w:rStyle w:val="Normal"/>
        </w:rPr>
        <w:t xml:space="preserve"> He wants Thursday's NF call to start scoping what standing that capability up inside NextField would involve.</w:t>
      </w:r>
    </w:p>
    <w:p xmlns:wp14="http://schemas.microsoft.com/office/word/2010/wordml" w14:paraId="7BE462B7" wp14:textId="77777777">
      <w:pPr>
        <w:pStyle w:val="Heading2"/>
      </w:pPr>
      <w:r>
        <w:rPr>
          <w:rStyle w:val="Normal"/>
        </w:rPr>
        <w:t xml:space="preserve">What the tool actually is</w:t>
      </w:r>
    </w:p>
    <w:p xmlns:wp14="http://schemas.microsoft.com/office/word/2010/wordml" w14:paraId="62D960A5" wp14:textId="77777777">
      <w:r>
        <w:rPr>
          <w:rStyle w:val="Normal"/>
        </w:rPr>
        <w:t xml:space="preserve">The Excel workbook is a portfolio-wide </w:t>
      </w:r>
      <w:r>
        <w:rPr>
          <w:b/>
          <w:bCs/>
          <w:rStyle w:val="Normal"/>
        </w:rPr>
        <w:t xml:space="preserve">EOL prioritization and site-risk engine</w:t>
      </w:r>
      <w:r>
        <w:rPr>
          <w:rStyle w:val="Normal"/>
        </w:rPr>
        <w:t xml:space="preserve"> covering </w:t>
      </w:r>
      <w:r>
        <w:rPr>
          <w:b/>
          <w:bCs/>
          <w:rStyle w:val="Normal"/>
        </w:rPr>
        <w:t xml:space="preserve">71 sites, 31 asset types, and ~7,203 assets</w:t>
      </w:r>
      <w:r>
        <w:rPr>
          <w:rStyle w:val="Normal"/>
        </w:rPr>
        <w:t xml:space="preserve"> across Flexential's data-center estate. Its logic scores every asset for replacement priority (0–100) using a weighted, criteria model — Equipment Criticality (100), Operating Issues (88.89), Redundancy (77.78), Service &amp; Support (66.67), Age (55.56), Site Business Priority (44.44), Efficiency (33.33), Maintenance Cost (22.22), and Loading (11.11) — with a replacement threshold at a score of 50.</w:t>
      </w:r>
    </w:p>
    <w:p xmlns:wp14="http://schemas.microsoft.com/office/word/2010/wordml" w14:paraId="3785B046" wp14:textId="77777777">
      <w:r>
        <w:rPr>
          <w:rStyle w:val="Normal"/>
        </w:rPr>
        <w:t xml:space="preserve">It also carries several capabilities beyond simple age tracking:</w:t>
      </w:r>
    </w:p>
    <w:p xmlns:wp14="http://schemas.microsoft.com/office/word/2010/wordml" w14:paraId="6024D65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Site Risk / SPOF evaluation</w:t>
      </w:r>
      <w:r>
        <w:rPr>
          <w:rStyle w:val="Normal"/>
        </w:rPr>
        <w:t xml:space="preserve"> — a Single-Point-of-Failure model scoring outage impact and redundancy (N, N+1, CM) per equipment category; "7.0 and greater are SPOFs."</w:t>
      </w:r>
    </w:p>
    <w:p xmlns:wp14="http://schemas.microsoft.com/office/word/2010/wordml" w14:paraId="0A30BDF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Financial modeling</w:t>
      </w:r>
      <w:r>
        <w:rPr>
          <w:rStyle w:val="Normal"/>
        </w:rPr>
        <w:t xml:space="preserve"> — replacement cost bands, EBITDA, critical-load capacity/utilization, and a </w:t>
      </w:r>
      <w:r>
        <w:rPr>
          <w:b/>
          <w:bCs/>
          <w:rStyle w:val="Normal"/>
        </w:rPr>
        <w:t xml:space="preserve">10-year forecasted replacement budget of ≈ $780M</w:t>
      </w:r>
      <w:r>
        <w:rPr>
          <w:rStyle w:val="Normal"/>
        </w:rPr>
        <w:t xml:space="preserve"> (UPS $171M, Batteries $116M, Generators $118M, CRAH $71M, etc.).</w:t>
      </w:r>
    </w:p>
    <w:p xmlns:wp14="http://schemas.microsoft.com/office/word/2010/wordml" w14:paraId="706453B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Redundancy "+1" planning</w:t>
      </w:r>
      <w:r>
        <w:rPr>
          <w:rStyle w:val="Normal"/>
        </w:rPr>
        <w:t xml:space="preserve"> (Gen +1, UPS +1, Cooling +1) and site business-priority scoring (Ownership, Asset Class, EBITDA, utilization).</w:t>
      </w:r>
    </w:p>
    <w:p xmlns:wp14="http://schemas.microsoft.com/office/word/2010/wordml" w14:paraId="273AB1A1" wp14:textId="77777777">
      <w:r>
        <w:rPr>
          <w:rStyle w:val="Normal"/>
        </w:rPr>
        <w:t xml:space="preserve">The Power BI layer surfaces this as executive dashboards: Overall Score by Site, Replacement Prioritization by asset/site, Forecasted Replacement Budget by Year, and Asset Health by Facility.</w:t>
      </w:r>
    </w:p>
    <w:p xmlns:wp14="http://schemas.microsoft.com/office/word/2010/wordml" w14:paraId="66175F22" wp14:textId="77777777">
      <w:pPr>
        <w:pStyle w:val="Heading2"/>
      </w:pPr>
      <w:r>
        <w:rPr>
          <w:rStyle w:val="Normal"/>
        </w:rPr>
        <w:t xml:space="preserve">The business opportunity — what it has been</w:t>
      </w:r>
    </w:p>
    <w:p xmlns:wp14="http://schemas.microsoft.com/office/word/2010/wordml" w14:paraId="41EC487C" wp14:textId="77777777">
      <w:r>
        <w:rPr>
          <w:rStyle w:val="Normal"/>
        </w:rPr>
        <w:t xml:space="preserve">Historically, this tool is what converted Flexential's fragmented, inconsistent asset inventories into </w:t>
      </w:r>
      <w:r>
        <w:rPr>
          <w:b/>
          <w:bCs/>
          <w:rStyle w:val="Normal"/>
        </w:rPr>
        <w:t xml:space="preserve">prioritized, defensible replacement programs and capital budgets</w:t>
      </w:r>
      <w:r>
        <w:rPr>
          <w:rStyle w:val="Normal"/>
        </w:rPr>
        <w:t xml:space="preserve">. That's the recurring value: EE built the methodology, delivers it to Flexential, and </w:t>
      </w:r>
      <w:r>
        <w:rPr>
          <w:b/>
          <w:bCs/>
          <w:rStyle w:val="Normal"/>
        </w:rPr>
        <w:t xml:space="preserve">refreshes it annually</w:t>
      </w:r>
      <w:r>
        <w:rPr>
          <w:rStyle w:val="Normal"/>
        </w:rPr>
        <w:t xml:space="preserve"> — which is effectively a light recurring-services relationship and a deep well of institutional knowledge about Flexential's estate.</w:t>
      </w:r>
    </w:p>
    <w:p xmlns:wp14="http://schemas.microsoft.com/office/word/2010/wordml" w14:paraId="65ECDD68" wp14:textId="77777777">
      <w:r>
        <w:rPr>
          <w:rStyle w:val="Normal"/>
        </w:rPr>
        <w:t xml:space="preserve">Internally, your team explicitly names this as a durable moat. The </w:t>
      </w:r>
      <w:hyperlink w:history="1" r:id="rIdajdy74fc-i7-oeerz_kjs">
        <w:r>
          <w:rPr>
            <w:rStyle w:val="Hyperlink"/>
          </w:rPr>
          <w:t xml:space="preserve">LAS03 Site Assessment Proposal 08-25-2026.pdf</w:t>
        </w:r>
      </w:hyperlink>
      <w:r>
        <w:rPr>
          <w:rStyle w:val="Normal"/>
        </w:rPr>
        <w:t xml:space="preserve"> states EE's credibility rests on "previous facility assessments, capacity planning initiatives, infrastructure modernization projects, lifecycle management programs, and </w:t>
      </w:r>
      <w:r>
        <w:rPr>
          <w:b/>
          <w:bCs/>
          <w:rStyle w:val="Normal"/>
        </w:rPr>
        <w:t xml:space="preserve">development of the Flexential End-of-Life (EOL) platform</w:t>
      </w:r>
      <w:r>
        <w:rPr>
          <w:rStyle w:val="Normal"/>
        </w:rPr>
        <w:t xml:space="preserve">." The Option D strategy doc reinforces that EE already holds "the relationship, institutional knowledge, EOL context, historical data, and portfolio familiarity" for Flexential — a genuine competitive advantage.</w:t>
      </w:r>
    </w:p>
    <w:p xmlns:wp14="http://schemas.microsoft.com/office/word/2010/wordml" w14:paraId="53938E7B" wp14:textId="77777777">
      <w:pPr>
        <w:pStyle w:val="Heading2"/>
      </w:pPr>
      <w:r>
        <w:rPr>
          <w:rStyle w:val="Normal"/>
        </w:rPr>
        <w:t xml:space="preserve">The business opportunity — what it is now</w:t>
      </w:r>
    </w:p>
    <w:p xmlns:wp14="http://schemas.microsoft.com/office/word/2010/wordml" w14:paraId="0ECB8D85" wp14:textId="77777777">
      <w:r>
        <w:rPr>
          <w:rStyle w:val="Normal"/>
        </w:rPr>
        <w:t xml:space="preserve">The EOL work has become the wedge for a much larger play. NextField/Flexential is EE's </w:t>
      </w:r>
      <w:r>
        <w:rPr>
          <w:b/>
          <w:bCs/>
          <w:rStyle w:val="Normal"/>
        </w:rPr>
        <w:t xml:space="preserve">Tier 1, highest-growth priority</w:t>
      </w:r>
      <w:r>
        <w:rPr>
          <w:rStyle w:val="Normal"/>
        </w:rPr>
        <w:t xml:space="preserve"> — winning the Flexential multi-market RFP (16 sites, 8 markets) is meant to validate the entire NextField approach. The LAS03/LAS05 pilot is already kicked off (priced ~$38.5K/site à la carte, trending toward ~$30K/site at portfolio scale).</w:t>
      </w:r>
    </w:p>
    <w:p xmlns:wp14="http://schemas.microsoft.com/office/word/2010/wordml" w14:paraId="21F40E9D" wp14:textId="77777777">
      <w:r>
        <w:rPr>
          <w:rStyle w:val="Normal"/>
        </w:rPr>
        <w:t xml:space="preserve">The Flexential NextField Business Model Delivery Strategy and the </w:t>
      </w:r>
      <w:hyperlink w:history="1" r:id="rIdx7lstyojlvzrnzzztj4xh">
        <w:r>
          <w:rPr>
            <w:rStyle w:val="Hyperlink"/>
          </w:rPr>
          <w:t xml:space="preserve">Flexential Nextfield Delivery Strategy.pptx</w:t>
        </w:r>
      </w:hyperlink>
      <w:r>
        <w:rPr>
          <w:rStyle w:val="Normal"/>
        </w:rPr>
        <w:t xml:space="preserve"> lay out the "Option A → Option D" evolution — from a traditional engineering assessment toward an </w:t>
      </w:r>
      <w:r>
        <w:rPr>
          <w:b/>
          <w:bCs/>
          <w:rStyle w:val="Normal"/>
        </w:rPr>
        <w:t xml:space="preserve">Asset Intelligence operating model</w:t>
      </w:r>
      <w:r>
        <w:rPr>
          <w:rStyle w:val="Normal"/>
        </w:rPr>
        <w:t xml:space="preserve">. Crucially, the tool's EOL history is a </w:t>
      </w:r>
      <w:r>
        <w:rPr>
          <w:i/>
          <w:iCs/>
          <w:rStyle w:val="Normal"/>
        </w:rPr>
        <w:t xml:space="preserve">pricing and delivery lever</w:t>
      </w:r>
      <w:r>
        <w:rPr>
          <w:rStyle w:val="Normal"/>
        </w:rPr>
        <w:t xml:space="preserve">: EOL records get </w:t>
      </w:r>
      <w:r>
        <w:rPr>
          <w:b/>
          <w:bCs/>
          <w:rStyle w:val="Normal"/>
        </w:rPr>
        <w:t xml:space="preserve">preloaded into Asset Records</w:t>
      </w:r>
      <w:r>
        <w:rPr>
          <w:rStyle w:val="Normal"/>
        </w:rPr>
        <w:t xml:space="preserve"> so engineers validate rather than rediscover, shifting labor to lower-cost operators/AI and taking the base price from a ~$791K traditional benchmark down to a ~$400K Option D portfolio price. The chain sold to Flexential is "Site Assessments → Improved Asset Records → Validated Asset Intelligence → Capital Planning → Portfolio Decisions."</w:t>
      </w:r>
    </w:p>
    <w:p xmlns:wp14="http://schemas.microsoft.com/office/word/2010/wordml" w14:paraId="2732FB33" wp14:textId="77777777">
      <w:pPr>
        <w:pStyle w:val="Heading2"/>
      </w:pPr>
      <w:r>
        <w:rPr>
          <w:rStyle w:val="Normal"/>
        </w:rPr>
        <w:t xml:space="preserve">How this maps into the NextField Platform</w:t>
      </w:r>
    </w:p>
    <w:p xmlns:wp14="http://schemas.microsoft.com/office/word/2010/wordml" w14:paraId="0A077B28" wp14:textId="77777777">
      <w:r>
        <w:rPr>
          <w:rStyle w:val="Normal"/>
        </w:rPr>
        <w:t xml:space="preserve">The August 6 NextField meeting already connected these dots: the team discussed "how spreadsheets and tools like the </w:t>
      </w:r>
      <w:r>
        <w:rPr>
          <w:b/>
          <w:bCs/>
          <w:rStyle w:val="Normal"/>
        </w:rPr>
        <w:t xml:space="preserve">end-of-life tool feed data into the strategy unlock</w:t>
      </w:r>
      <w:r>
        <w:rPr>
          <w:rStyle w:val="Normal"/>
        </w:rPr>
        <w:t xml:space="preserve">," with Tara/Leo agreeing to send you examples — which is exactly this email. Here's the concrete mapping between the EOL tool and NextField's five layers (Screener → Sprint → Strategy Unlock → Scale → Sustain):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14:paraId="49EF7F5B" wp14:textId="77777777">
        <w:tc>
          <w:tcPr>
            <w:vAlign w:val="center"/>
          </w:tcPr>
          <w:p w14:paraId="391E78D0" wp14:textId="77777777">
            <w:r>
              <w:rPr>
                <w:rStyle w:val="Normal"/>
              </w:rPr>
              <w:t xml:space="preserve">EOL / Site Risk Tool Component</w:t>
            </w:r>
          </w:p>
        </w:tc>
        <w:tc>
          <w:tcPr>
            <w:vAlign w:val="center"/>
          </w:tcPr>
          <w:p w14:paraId="66B39844" wp14:textId="77777777">
            <w:r>
              <w:rPr>
                <w:rStyle w:val="Normal"/>
              </w:rPr>
              <w:t xml:space="preserve">NextField Platform Home</w:t>
            </w:r>
          </w:p>
        </w:tc>
      </w:tr>
      <w:tr xmlns:wp14="http://schemas.microsoft.com/office/word/2010/wordml" w14:paraId="5B4F7E03" wp14:textId="77777777">
        <w:tc>
          <w:tcPr>
            <w:vAlign w:val="center"/>
          </w:tcPr>
          <w:p w14:paraId="2CAE1ABF" wp14:textId="77777777">
            <w:r>
              <w:rPr>
                <w:rStyle w:val="Normal"/>
              </w:rPr>
              <w:t xml:space="preserve">9-criteria weighted asset scoring (Criticality, Age, Redundancy, Service/Support…)</w:t>
            </w:r>
          </w:p>
        </w:tc>
        <w:tc>
          <w:tcPr>
            <w:vAlign w:val="center"/>
          </w:tcPr>
          <w:p w14:paraId="5DFEB10E" wp14:textId="77777777">
            <w:r>
              <w:rPr>
                <w:rStyle w:val="Normal"/>
              </w:rPr>
              <w:t xml:space="preserve">Screener + Asset Record scoring engine (Reliability, Capacity, Energy, NF Score); EOL fields populate the 47→300-field Asset Record</w:t>
            </w:r>
          </w:p>
        </w:tc>
      </w:tr>
      <w:tr xmlns:wp14="http://schemas.microsoft.com/office/word/2010/wordml" w14:paraId="3378E857" wp14:textId="77777777">
        <w:tc>
          <w:tcPr>
            <w:vAlign w:val="center"/>
          </w:tcPr>
          <w:p w14:paraId="703B3F04" wp14:textId="77777777">
            <w:r>
              <w:rPr>
                <w:rStyle w:val="Normal"/>
              </w:rPr>
              <w:t xml:space="preserve">SPOF / Site Risk model (N/N+1/CM, outage impact)</w:t>
            </w:r>
          </w:p>
        </w:tc>
        <w:tc>
          <w:tcPr>
            <w:vAlign w:val="center"/>
          </w:tcPr>
          <w:p w14:paraId="23C5CEC1" wp14:textId="77777777">
            <w:r>
              <w:rPr>
                <w:rStyle w:val="Normal"/>
              </w:rPr>
              <w:t xml:space="preserve">Uptime / Reliability Sprint diagnostics and site-risk scoring</w:t>
            </w:r>
          </w:p>
        </w:tc>
      </w:tr>
      <w:tr xmlns:wp14="http://schemas.microsoft.com/office/word/2010/wordml" w14:paraId="65A91A04" wp14:textId="77777777">
        <w:tc>
          <w:tcPr>
            <w:vAlign w:val="center"/>
          </w:tcPr>
          <w:p w14:paraId="27F00AA0" wp14:textId="77777777">
            <w:r>
              <w:rPr>
                <w:rStyle w:val="Normal"/>
              </w:rPr>
              <w:t xml:space="preserve">10-year replacement budget, ROM costs, capital forecast</w:t>
            </w:r>
          </w:p>
        </w:tc>
        <w:tc>
          <w:tcPr>
            <w:vAlign w:val="center"/>
          </w:tcPr>
          <w:p w14:paraId="49B25935" wp14:textId="77777777">
            <w:r>
              <w:rPr>
                <w:rStyle w:val="Normal"/>
              </w:rPr>
              <w:t xml:space="preserve">Strategy Unlock — capital sequencing (0–3, 3–7, 7–15 yr) and the Portfolio Report heat map</w:t>
            </w:r>
          </w:p>
        </w:tc>
      </w:tr>
      <w:tr xmlns:wp14="http://schemas.microsoft.com/office/word/2010/wordml" w14:paraId="75426CC3" wp14:textId="77777777">
        <w:tc>
          <w:tcPr>
            <w:vAlign w:val="center"/>
          </w:tcPr>
          <w:p w14:paraId="157A599E" wp14:textId="77777777">
            <w:r>
              <w:rPr>
                <w:rStyle w:val="Normal"/>
              </w:rPr>
              <w:t xml:space="preserve">Annual EOL refresh delivered to Flexential</w:t>
            </w:r>
          </w:p>
        </w:tc>
        <w:tc>
          <w:tcPr>
            <w:vAlign w:val="center"/>
          </w:tcPr>
          <w:p w14:paraId="43DEFAD3" wp14:textId="77777777">
            <w:r>
              <w:rPr>
                <w:rStyle w:val="Normal"/>
              </w:rPr>
              <w:t xml:space="preserve">NextField Sustain / Portfolio Asset Intelligence Service — quarterly Asset Record + EOL refresh (~$79–86K first-year recurring)</w:t>
            </w:r>
          </w:p>
        </w:tc>
      </w:tr>
      <w:tr xmlns:wp14="http://schemas.microsoft.com/office/word/2010/wordml" w14:paraId="2B0E9541" wp14:textId="77777777">
        <w:tc>
          <w:tcPr>
            <w:vAlign w:val="center"/>
          </w:tcPr>
          <w:p w14:paraId="6DAFBE09" wp14:textId="77777777">
            <w:r>
              <w:rPr>
                <w:rStyle w:val="Normal"/>
              </w:rPr>
              <w:t xml:space="preserve">Flexential's existing EOL dataset &amp; history</w:t>
            </w:r>
          </w:p>
        </w:tc>
        <w:tc>
          <w:tcPr>
            <w:vAlign w:val="center"/>
          </w:tcPr>
          <w:p w14:paraId="6792A952" wp14:textId="77777777">
            <w:r>
              <w:rPr>
                <w:rStyle w:val="Normal"/>
              </w:rPr>
              <w:t xml:space="preserve">Preloaded Asset Records that lower discovery cost in Option D delivery</w:t>
            </w:r>
          </w:p>
        </w:tc>
      </w:tr>
    </w:tbl>
    <w:p xmlns:wp14="http://schemas.microsoft.com/office/word/2010/wordml" w14:paraId="5F73F6C4" wp14:textId="77777777">
      <w:r>
        <w:rPr>
          <w:rStyle w:val="Normal"/>
        </w:rPr>
        <w:t xml:space="preserve">The strategic upgrade is this: today the EOL tool is a </w:t>
      </w:r>
      <w:r>
        <w:rPr>
          <w:b/>
          <w:bCs/>
          <w:rStyle w:val="Normal"/>
        </w:rPr>
        <w:t xml:space="preserve">static, Excel/Power BI deliverable that EE refreshes once a year</w:t>
      </w:r>
      <w:r>
        <w:rPr>
          <w:rStyle w:val="Normal"/>
        </w:rPr>
        <w:t xml:space="preserve">. Inside NextField, that same logic becomes a </w:t>
      </w:r>
      <w:r>
        <w:rPr>
          <w:b/>
          <w:bCs/>
          <w:rStyle w:val="Normal"/>
        </w:rPr>
        <w:t xml:space="preserve">living Asset Record and a capital-allocation asset</w:t>
      </w:r>
      <w:r>
        <w:rPr>
          <w:rStyle w:val="Normal"/>
        </w:rPr>
        <w:t xml:space="preserve"> — Strategy Unlock turns condition/risk/lifecycle data into Invest / Validate / Sequence / Monitor recommendations, and Sustain converts the annual refresh into a recurring managed-services stream.</w:t>
      </w:r>
    </w:p>
    <w:p xmlns:wp14="http://schemas.microsoft.com/office/word/2010/wordml" w14:paraId="1ABCB911" wp14:textId="77777777">
      <w:pPr>
        <w:pStyle w:val="Heading2"/>
      </w:pPr>
      <w:r>
        <w:rPr>
          <w:rStyle w:val="Normal"/>
        </w:rPr>
        <w:t xml:space="preserve">What I'd raise on Thursday's NF call</w:t>
      </w:r>
    </w:p>
    <w:p xmlns:wp14="http://schemas.microsoft.com/office/word/2010/wordml" w14:paraId="0DC281B9" wp14:textId="77777777"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Position the EOL tool as NextField's proof-of-concept, not a rebuild.</w:t>
      </w:r>
      <w:r>
        <w:rPr>
          <w:rStyle w:val="Normal"/>
        </w:rPr>
        <w:t xml:space="preserve"> Its scoring logic, SPOF model, and capital forecast already </w:t>
      </w:r>
      <w:r>
        <w:rPr>
          <w:i/>
          <w:iCs/>
          <w:rStyle w:val="Normal"/>
        </w:rPr>
        <w:t xml:space="preserve">are</w:t>
      </w:r>
      <w:r>
        <w:rPr>
          <w:rStyle w:val="Normal"/>
        </w:rPr>
        <w:t xml:space="preserve"> the analytical backbone of Screener + Strategy Unlock — mapping them in validates the platform with real Flexential data.</w:t>
      </w:r>
    </w:p>
    <w:p xmlns:wp14="http://schemas.microsoft.com/office/word/2010/wordml" w14:paraId="68E62DB5" wp14:textId="77777777"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Standing it up in NF = three work items:</w:t>
      </w:r>
      <w:r>
        <w:rPr>
          <w:rStyle w:val="Normal"/>
        </w:rPr>
        <w:t xml:space="preserve"> (a) port the 9-criteria scoring and EOL fields into the Dataverse Asset Record schema, (b) wire the replacement-cost/forecast logic into Strategy Unlock's capital-sequencing layer, and (c) reproduce the Power BI dashboards as NextField Portfolio/Asset Reports.</w:t>
      </w:r>
    </w:p>
    <w:p xmlns:wp14="http://schemas.microsoft.com/office/word/2010/wordml" w14:paraId="484D82D9" wp14:textId="77777777"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Monetize the annual refresh</w:t>
      </w:r>
      <w:r>
        <w:rPr>
          <w:rStyle w:val="Normal"/>
        </w:rPr>
        <w:t xml:space="preserve"> as the NextField Sustain / Portfolio Asset Intelligence Service — the strongest recurring-revenue and relationship-retention play in the whole model.</w:t>
      </w:r>
    </w:p>
    <w:p xmlns:wp14="http://schemas.microsoft.com/office/word/2010/wordml" w14:paraId="05916D52" wp14:textId="77777777"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Data organization is the gating item</w:t>
      </w:r>
      <w:r>
        <w:rPr>
          <w:rStyle w:val="Normal"/>
        </w:rPr>
        <w:t xml:space="preserve"> — the same "disorganized legacy data / confidence-level" problem Tara flagged applies here, so a clear data spec for which EOL records feed the Asset Record should be a Thursday output.</w:t>
      </w:r>
    </w:p>
    <w:p xmlns:wp14="http://schemas.microsoft.com/office/word/2010/wordml" w14:paraId="7D99B009" wp14:textId="77777777">
      <w:r>
        <w:rPr>
          <w:rStyle w:val="Normal"/>
        </w:rPr>
        <w:t xml:space="preserve">Would you like me to turn this into a one-page briefing or a short slide for Thursday's NF call — for example, a visual of the "EOL Tool → NextField layer" mapping you could walk Leo and Joe through?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357b17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114b3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446b154a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787B3EF0"/>
  <w15:docId w15:val="{8B4C9C37-12AD-4A41-A27B-4715E97CA62D}"/>
  <w:rsids>
    <w:rsidRoot w:val="4C6224B8"/>
    <w:rsid w:val="4C6224B8"/>
    <w:rsid w:val="68B3D0E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usvnialw8cyfh1zwetin_" Type="http://schemas.openxmlformats.org/officeDocument/2006/relationships/hyperlink" Target="https://enabledenergy214.sharepoint.com/sites/TSDevelopment-Nextfield/_layouts/15/Doc.aspx?sourcedoc=%7BAD4A75F7-A5FF-48B4-BF05-7C2416CE127E%7D&amp;file=Flex%20Asset%20EOL%20and%20Site%20Risk%20Evaluation%20Tool%20Ver%203.0%203.6.25.xlsx&amp;action=default&amp;mobileredirect=true&amp;EntityRepresentationId=377df3ab-2752-4817-8783-58254cd94f56" TargetMode="External"/><Relationship Id="rIdx7lstyojlvzrnzzztj4xh" Type="http://schemas.openxmlformats.org/officeDocument/2006/relationships/hyperlink" Target="https://enabledenergy214.sharepoint.com/sites/Flexential/_layouts/15/Doc.aspx?sourcedoc=%7B1A85028C-1CFA-47D9-B55A-6F4846100020%7D&amp;file=Flexential%20Nextfield%20Delivery%20Strategy.pptx&amp;action=edit&amp;mobileredirect=true&amp;DefaultItemOpen=1&amp;EntityRepresentationId=2922e643-e5a6-4544-9c62-7c82e1ef60c6" TargetMode="External"/><Relationship Id="rId7" Type="http://schemas.openxmlformats.org/officeDocument/2006/relationships/customXml" Target="../customXml/item3.xml"/><Relationship Id="rId2" Type="http://schemas.openxmlformats.org/officeDocument/2006/relationships/numbering" Target="numbering.xml"/><Relationship Id="rIdajdy74fc-i7-oeerz_kjs" Type="http://schemas.openxmlformats.org/officeDocument/2006/relationships/hyperlink" Target="https://enabledenergy214.sharepoint.com/sites/Flexential/Shared%20Documents/NV%20-%20Las%20Vegas%20-%20304%20E%20Carson%20Ave%20%28LAS03%2005%29/2026%20-%20Site%20Planning%20LAS03%20EE26172/2.3%20Award/LAS03%20Site%20Assessment%20Proposal%2008-25-2026.pdf?web=1&amp;EntityRepresentationId=31efce0f-8cb3-4476-b23a-733fb002cf43" TargetMode="Externa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8i5kh5afaiykklcjrkhpy" Type="http://schemas.openxmlformats.org/officeDocument/2006/relationships/hyperlink" Target="https://enabledenergy214.sharepoint.com/sites/TSDevelopment-Nextfield/_layouts/15/Doc.aspx?sourcedoc=%7B2F1A1982-07D6-42AD-9848-C0D8273C61CE%7D&amp;file=End%20of%20Life%20Tool.docx&amp;action=default&amp;mobileredirect=true&amp;EntityRepresentationId=7cbfb6f9-bdc9-45bc-a04b-df24876d3a0a" TargetMode="Externa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A086722275AD4F854A79DF0168EA30" ma:contentTypeVersion="9" ma:contentTypeDescription="Create a new document." ma:contentTypeScope="" ma:versionID="61024747421f13d1caf4ac30139695c1">
  <xsd:schema xmlns:xsd="http://www.w3.org/2001/XMLSchema" xmlns:xs="http://www.w3.org/2001/XMLSchema" xmlns:p="http://schemas.microsoft.com/office/2006/metadata/properties" xmlns:ns2="7b5e641e-3886-4d47-a8c6-7b8cb3c79ec1" targetNamespace="http://schemas.microsoft.com/office/2006/metadata/properties" ma:root="true" ma:fieldsID="b47981345144b1ed122cef0c9f642991" ns2:_="">
    <xsd:import namespace="7b5e641e-3886-4d47-a8c6-7b8cb3c79e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5e641e-3886-4d47-a8c6-7b8cb3c7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63d5e90-751f-4aac-a7d8-7f17295265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5e641e-3886-4d47-a8c6-7b8cb3c79ec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E08A972-7EB5-41B9-ABB8-1E7BA3FBE060}"/>
</file>

<file path=customXml/itemProps2.xml><?xml version="1.0" encoding="utf-8"?>
<ds:datastoreItem xmlns:ds="http://schemas.openxmlformats.org/officeDocument/2006/customXml" ds:itemID="{7CD8F24A-975E-4CC1-81A1-A0381FAB23A3}"/>
</file>

<file path=customXml/itemProps3.xml><?xml version="1.0" encoding="utf-8"?>
<ds:datastoreItem xmlns:ds="http://schemas.openxmlformats.org/officeDocument/2006/customXml" ds:itemID="{C15493FC-DF48-48A2-95DA-3B45F448F24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Eric Johnson</cp:lastModifiedBy>
  <cp:revision>2</cp:revision>
  <dcterms:created xsi:type="dcterms:W3CDTF">2026-09-03T04:08:32Z</dcterms:created>
  <dcterms:modified xsi:type="dcterms:W3CDTF">2026-09-03T04:24:19Z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0x0101001DA086722275AD4F854A79DF0168EA30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