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Longitudinal Contrast-Enhanced T1 Synthesis from a Patient's Prior Exam with a Schrödinger Bridge</w:t>
      </w:r>
    </w:p>
    <w:p>
      <w:pPr>
        <w:spacing w:after="240"/>
        <w:jc w:val="center"/>
      </w:pPr>
      <w:r>
        <w:t xml:space="preserve">Eric Eng, Yao Wang, Li Feng</w:t>
      </w:r>
    </w:p>
    <w:p>
      <w:pPr>
        <w:pStyle w:val="Heading2"/>
        <w:spacing w:after="100" w:before="240"/>
      </w:pPr>
      <w:r>
        <w:t xml:space="preserve">Impact</w:t>
      </w:r>
    </w:p>
    <w:p>
      <w:pPr>
        <w:spacing w:after="120"/>
      </w:pPr>
      <w:r>
        <w:t xml:space="preserve">Synthesizing post-contrast MRI from pre-contrast imagery could allow patients to avoid repeated gadolinium injections, but enhancement is not always evident in pre-contrast images. Conditioning on a prior scan supplies additional enhancement information that improves synthesis quality.</w:t>
      </w:r>
    </w:p>
    <w:p>
      <w:pPr>
        <w:pStyle w:val="Heading2"/>
        <w:spacing w:after="100" w:before="240"/>
      </w:pPr>
      <w:r>
        <w:t xml:space="preserve">Synopsis</w:t>
      </w:r>
    </w:p>
    <w:p>
      <w:pPr>
        <w:spacing w:after="120"/>
      </w:pPr>
      <w:r>
        <w:rPr>
          <w:b/>
          <w:bCs/>
        </w:rPr>
        <w:t xml:space="preserve">Motivation:</w:t>
      </w:r>
      <w:r>
        <w:t xml:space="preserve"> Synthesizing post-contrast images could avoid gadolinium injection, but enhancement is not always predictable from pre-contrast information. Patients under surveillance have a prior contrast-enhanced exam that encodes enhancement for similar anatomy.</w:t>
      </w:r>
    </w:p>
    <w:p>
      <w:pPr>
        <w:spacing w:after="120"/>
      </w:pPr>
      <w:r>
        <w:rPr>
          <w:b/>
          <w:bCs/>
        </w:rPr>
        <w:t xml:space="preserve">Goal(s):</w:t>
      </w:r>
      <w:r>
        <w:t xml:space="preserve"> Exploit prior exam information in a contrast synthesis task.</w:t>
      </w:r>
    </w:p>
    <w:p>
      <w:pPr>
        <w:spacing w:after="120"/>
      </w:pPr>
      <w:r>
        <w:rPr>
          <w:b/>
          <w:bCs/>
        </w:rPr>
        <w:t xml:space="preserve">Approach:</w:t>
      </w:r>
      <w:r>
        <w:t xml:space="preserve"> The Image-to-Image Schrödinger Bridge (I</w:t>
      </w:r>
      <w:r>
        <w:rPr>
          <w:vertAlign w:val="superscript"/>
        </w:rPr>
        <w:t xml:space="preserve">2</w:t>
      </w:r>
      <w:r>
        <w:t xml:space="preserve">SB) algorithm is used to map current T1 to CT1 images conditioned on FLAIR/T1/T2 imagery. To extend this to the longitudinal synthesis task, five adjacent T1/CT1 slices are provided as additional side information.</w:t>
      </w:r>
    </w:p>
    <w:p>
      <w:pPr>
        <w:spacing w:after="120"/>
      </w:pPr>
      <w:r>
        <w:rPr>
          <w:b/>
          <w:bCs/>
        </w:rPr>
        <w:t xml:space="preserve">Results:</w:t>
      </w:r>
      <w:r>
        <w:t xml:space="preserve"> On the NYUMets dataset, longitudinal I</w:t>
      </w:r>
      <w:r>
        <w:rPr>
          <w:vertAlign w:val="superscript"/>
        </w:rPr>
        <w:t xml:space="preserve">2</w:t>
      </w:r>
      <w:r>
        <w:t xml:space="preserve">SB produces higher quality CT1 images while remaining robust towards uninformative guide information.</w:t>
      </w:r>
    </w:p>
    <w:p>
      <w:pPr>
        <w:pStyle w:val="Heading2"/>
        <w:spacing w:after="100" w:before="240"/>
      </w:pPr>
      <w:r>
        <w:t xml:space="preserve">Introduction</w:t>
      </w:r>
    </w:p>
    <w:p>
      <w:pPr>
        <w:spacing w:after="120"/>
      </w:pPr>
      <w:r>
        <w:t xml:space="preserve">Brain metastases are monitored with serial gadolinium-enhanced MRI</w:t>
      </w:r>
      <w:r>
        <w:rPr>
          <w:vertAlign w:val="superscript"/>
        </w:rPr>
        <w:t xml:space="preserve">1</w:t>
      </w:r>
      <w:r>
        <w:t xml:space="preserve">, and repeated gadolinium exposure</w:t>
      </w:r>
      <w:r>
        <w:rPr>
          <w:vertAlign w:val="superscript"/>
        </w:rPr>
        <w:t xml:space="preserve">2</w:t>
      </w:r>
      <w:r>
        <w:t xml:space="preserve"> motivates synthesizing post-contrast images from non-contrast ones. Single-exam synthesis must infer enhancement from T1, T2 and FLAIR alone. In surveillance, however, every patient has a prior post-contrast exam, highly correlated with the current one. We condition an image-to-image Schrödinger bridge (I</w:t>
      </w:r>
      <w:r>
        <w:rPr>
          <w:vertAlign w:val="superscript"/>
        </w:rPr>
        <w:t xml:space="preserve">2</w:t>
      </w:r>
      <w:r>
        <w:t xml:space="preserve">SB)</w:t>
      </w:r>
      <w:r>
        <w:rPr>
          <w:vertAlign w:val="superscript"/>
        </w:rPr>
        <w:t xml:space="preserve">3</w:t>
      </w:r>
      <w:r>
        <w:t xml:space="preserve"> on that prior exam and evaluate it under inference-realistic conditions.</w:t>
      </w:r>
    </w:p>
    <w:p>
      <w:pPr>
        <w:pStyle w:val="Heading2"/>
        <w:spacing w:after="100" w:before="240"/>
      </w:pPr>
      <w:r>
        <w:t xml:space="preserve">Methods</w:t>
      </w:r>
    </w:p>
    <w:p>
      <w:pPr>
        <w:spacing w:after="120"/>
      </w:pPr>
      <w:r>
        <w:rPr>
          <w:b/>
          <w:bCs/>
        </w:rPr>
        <w:t xml:space="preserve">Image-to-Image Schrödinger Bridge:</w:t>
      </w:r>
      <w:r>
        <w:t xml:space="preserve"> I</w:t>
      </w:r>
      <w:r>
        <w:rPr>
          <w:vertAlign w:val="superscript"/>
        </w:rPr>
        <w:t xml:space="preserve">2</w:t>
      </w:r>
      <w:r>
        <w:t xml:space="preserve">SB seeks to take some image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1</w:t>
      </w:r>
      <w:r>
        <w:t xml:space="preserve">, sampled from some known distribution, and estimate some related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0</w:t>
      </w:r>
      <w:r>
        <w:t xml:space="preserve"> coming from some alternative target distribution. Generating a sample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t</w:t>
      </w:r>
      <w:r>
        <w:t xml:space="preserve"> from the bridge involves generating noisy convex combinations of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0</w:t>
      </w:r>
      <w:r>
        <w:t xml:space="preserve"> and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1</w:t>
      </w:r>
      <w:r>
        <w:t xml:space="preserve">, where the additive noise power is time varying for t ∈ [0, 1]. A network is trained to, given bridge sample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t</w:t>
      </w:r>
      <w:r>
        <w:t xml:space="preserve">, predict the bridge endpoint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0</w:t>
      </w:r>
      <w:r>
        <w:t xml:space="preserve">. The algorithm itself iteratively predicts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0</w:t>
      </w:r>
      <w:r>
        <w:t xml:space="preserve"> and then resamples a new bridge point </w:t>
      </w:r>
      <w:r>
        <w:rPr>
          <w:b/>
          <w:bCs/>
          <w:i/>
          <w:iCs/>
        </w:rPr>
        <w:t xml:space="preserve">x</w:t>
      </w:r>
      <w:r>
        <w:rPr>
          <w:i/>
          <w:iCs/>
          <w:vertAlign w:val="subscript"/>
        </w:rPr>
        <w:t xml:space="preserve">t</w:t>
      </w:r>
      <w:r>
        <w:t xml:space="preserve"> while annealing the time index to 0 (Figure 1). In our case, we bridge from the current pre-contrast image to the desired post-contrast image. The original I</w:t>
      </w:r>
      <w:r>
        <w:rPr>
          <w:vertAlign w:val="superscript"/>
        </w:rPr>
        <w:t xml:space="preserve">2</w:t>
      </w:r>
      <w:r>
        <w:t xml:space="preserve">SB paper</w:t>
      </w:r>
      <w:r>
        <w:rPr>
          <w:vertAlign w:val="superscript"/>
        </w:rPr>
        <w:t xml:space="preserve">3</w:t>
      </w:r>
      <w:r>
        <w:t xml:space="preserve"> uses a UNet</w:t>
      </w:r>
      <w:r>
        <w:rPr>
          <w:vertAlign w:val="superscript"/>
        </w:rPr>
        <w:t xml:space="preserve">4</w:t>
      </w:r>
      <w:r>
        <w:t xml:space="preserve"> with an appended time-dependent channel. Since we have access to other contrasts of the same anatomy, we additionally append [T1, T2, FLAIR] as input channels, so the model need only learn the enhancement pattern from T1 to CT1.</w:t>
      </w:r>
    </w:p>
    <w:p>
      <w:pPr>
        <w:spacing w:after="120"/>
      </w:pPr>
      <w:r>
        <w:rPr>
          <w:b/>
          <w:bCs/>
        </w:rPr>
        <w:t xml:space="preserve">Longitudinal Conditioning:</w:t>
      </w:r>
      <w:r>
        <w:t xml:space="preserve"> Where enhancement is not evident in the pre-contrast images, the patient's prior contrast-enhanced exam can supply it. The bridge endpoints are unchanged, and the prior exam enters only as conditioning: its T1 and CT1 at a 5-slice window are appended as ten further input channels. The neighboring slices robustify the network to through-plane misregistration.</w:t>
      </w:r>
    </w:p>
    <w:p>
      <w:pPr>
        <w:spacing w:after="120"/>
      </w:pPr>
      <w:r>
        <w:rPr>
          <w:b/>
          <w:bCs/>
        </w:rPr>
        <w:t xml:space="preserve">Experiments:</w:t>
      </w:r>
      <w:r>
        <w:t xml:space="preserve"> We trained on NYUMets</w:t>
      </w:r>
      <w:r>
        <w:rPr>
          <w:vertAlign w:val="superscript"/>
        </w:rPr>
        <w:t xml:space="preserve">5</w:t>
      </w:r>
      <w:r>
        <w:t xml:space="preserve">, a longitudinal dataset of brain-metastasis patients with FLAIR, T1, CT1 and T2 at each visit, split into a training set of 2318 exams and a holdout set of 1007 exams. Within each exam the contrasts are already co-registered and skull-stripped. We train two regressors over the same training set while only giving one access to prior-exam data. At inference, the prior exam is registered to the current one by a 3-D affine fit learned only from pre-contrast images, without relying on the CT1 being predicted. PSNR, SSIM and NRMSE were computed within the brain mask and averaged per exam, and paired Wilcoxon signed-rank tests were run over the holdout set.</w:t>
      </w:r>
    </w:p>
    <w:p>
      <w:pPr>
        <w:pStyle w:val="Heading2"/>
        <w:spacing w:after="100" w:before="240"/>
      </w:pPr>
      <w:r>
        <w:t xml:space="preserve">Results</w:t>
      </w:r>
    </w:p>
    <w:p>
      <w:pPr>
        <w:spacing w:after="120"/>
      </w:pPr>
      <w:r>
        <w:t xml:space="preserve">Across 1007 test exams, conditioning on the prior exam improved every metric (Figure 3): PSNR rose from 24.79 ± 0.09 to 25.73 ± 0.10 dB, SSIM from 87.79 ± 0.21% to 90.83 ± 0.19%, and NRMSE fell from 13.07 ± 0.19% to 11.97 ± 0.19% (mean ± s.e. over exams; all p &lt; 10</w:t>
      </w:r>
      <w:r>
        <w:rPr>
          <w:vertAlign w:val="superscript"/>
        </w:rPr>
        <w:t xml:space="preserve">−3</w:t>
      </w:r>
      <w:r>
        <w:t xml:space="preserve">, paired Wilcoxon signed-rank test). The longitudinal model was better in 97% of exams (median PSNR gain +0.84 dB). Appending input channels to the UNet comes at little computational cost, so both methods are effectively computationally matched.</w:t>
      </w:r>
    </w:p>
    <w:p>
      <w:pPr>
        <w:spacing w:after="120"/>
      </w:pPr>
      <w:r>
        <w:t xml:space="preserve">Figure 2 shows strong visual improvement. In the first row, the single-study I</w:t>
      </w:r>
      <w:r>
        <w:rPr>
          <w:vertAlign w:val="superscript"/>
        </w:rPr>
        <w:t xml:space="preserve">2</w:t>
      </w:r>
      <w:r>
        <w:t xml:space="preserve">SB result overpredicts the enhancement details whereas longitudinal I</w:t>
      </w:r>
      <w:r>
        <w:rPr>
          <w:vertAlign w:val="superscript"/>
        </w:rPr>
        <w:t xml:space="preserve">2</w:t>
      </w:r>
      <w:r>
        <w:t xml:space="preserve">SB better preserves anatomical detail. The second row gives an example where a lesion appears in the CT1 image and not in the current T1. Single-study I</w:t>
      </w:r>
      <w:r>
        <w:rPr>
          <w:vertAlign w:val="superscript"/>
        </w:rPr>
        <w:t xml:space="preserve">2</w:t>
      </w:r>
      <w:r>
        <w:t xml:space="preserve">SB predicts the lesion, but longitudinal I</w:t>
      </w:r>
      <w:r>
        <w:rPr>
          <w:vertAlign w:val="superscript"/>
        </w:rPr>
        <w:t xml:space="preserve">2</w:t>
      </w:r>
      <w:r>
        <w:t xml:space="preserve">SB recovers its shape more accurately. Additionally, the prior CT1 guide seems to contain enhancement details near the brain stem that do not appear in the ground truth; longitudinal I</w:t>
      </w:r>
      <w:r>
        <w:rPr>
          <w:vertAlign w:val="superscript"/>
        </w:rPr>
        <w:t xml:space="preserve">2</w:t>
      </w:r>
      <w:r>
        <w:t xml:space="preserve">SB is robust to them. In the third row, single-study I</w:t>
      </w:r>
      <w:r>
        <w:rPr>
          <w:vertAlign w:val="superscript"/>
        </w:rPr>
        <w:t xml:space="preserve">2</w:t>
      </w:r>
      <w:r>
        <w:t xml:space="preserve">SB hallucinates a lesion absent from the acquired CT1, which the guide corrects.</w:t>
      </w:r>
    </w:p>
    <w:p>
      <w:pPr>
        <w:spacing w:after="120"/>
      </w:pPr>
      <w:r>
        <w:t xml:space="preserve">Figure 4 shows cases where the guide contains irrelevant or incorrect enhancement; longitudinal I</w:t>
      </w:r>
      <w:r>
        <w:rPr>
          <w:vertAlign w:val="superscript"/>
        </w:rPr>
        <w:t xml:space="preserve">2</w:t>
      </w:r>
      <w:r>
        <w:t xml:space="preserve">SB remains visually comparable to single-study I</w:t>
      </w:r>
      <w:r>
        <w:rPr>
          <w:vertAlign w:val="superscript"/>
        </w:rPr>
        <w:t xml:space="preserve">2</w:t>
      </w:r>
      <w:r>
        <w:t xml:space="preserve">SB, demonstrating robustness to guide quality. In some cases, longitudinal I</w:t>
      </w:r>
      <w:r>
        <w:rPr>
          <w:vertAlign w:val="superscript"/>
        </w:rPr>
        <w:t xml:space="preserve">2</w:t>
      </w:r>
      <w:r>
        <w:t xml:space="preserve">SB performs slightly better, likely due to the guide still encoding structural details that may be absent from the pre-contrast input. Figure 5 quantifies this by scoring the registered prior CT1 against the current CT1. The gain grows from ≈+0.3 dB for the least similar priors to +2.5 dB for the most similar, and stays positive on average in every bin.</w:t>
      </w:r>
    </w:p>
    <w:p>
      <w:pPr>
        <w:pStyle w:val="Heading2"/>
        <w:spacing w:after="100" w:before="240"/>
      </w:pPr>
      <w:r>
        <w:t xml:space="preserve">Discussion</w:t>
      </w:r>
    </w:p>
    <w:p>
      <w:pPr>
        <w:spacing w:after="120"/>
      </w:pPr>
      <w:r>
        <w:t xml:space="preserve">The prior exam is routinely available in surveillance, yet is unused by contrast-synthesis methods. As conditioning, it lets the network transfer known enhancement rather than infer it, and a poor prior reduces the benefit without degrading synthesis on average. However, registration quality here is generally high, and performance may degrade in anatomies less rigid than the brain.</w:t>
      </w:r>
    </w:p>
    <w:p>
      <w:pPr>
        <w:pStyle w:val="Heading2"/>
        <w:spacing w:after="100" w:before="240"/>
      </w:pPr>
      <w:r>
        <w:t xml:space="preserve">Conclusion</w:t>
      </w:r>
    </w:p>
    <w:p>
      <w:pPr>
        <w:spacing w:after="120"/>
      </w:pPr>
      <w:r>
        <w:t xml:space="preserve">Conditioning I</w:t>
      </w:r>
      <w:r>
        <w:rPr>
          <w:vertAlign w:val="superscript"/>
        </w:rPr>
        <w:t xml:space="preserve">2</w:t>
      </w:r>
      <w:r>
        <w:t xml:space="preserve">SB on a patient's prior exam, registered without the scan being predicted, improves gadolinium-free synthesis of the follow-up post-contrast T1.</w:t>
      </w:r>
    </w:p>
    <w:p>
      <w:pPr>
        <w:pStyle w:val="Heading2"/>
        <w:spacing w:after="100" w:before="240"/>
      </w:pPr>
      <w:r>
        <w:t xml:space="preserve">Acknowledgements</w:t>
      </w:r>
    </w:p>
    <w:p>
      <w:pPr>
        <w:spacing w:after="120"/>
      </w:pPr>
      <w:r>
        <w:t xml:space="preserve">The authors thank NYU Langone Health UltraViolet for technical support.</w:t>
      </w:r>
    </w:p>
    <w:p>
      <w:pPr>
        <w:pStyle w:val="Heading2"/>
        <w:spacing w:after="100" w:before="240"/>
      </w:pPr>
      <w:r>
        <w:t xml:space="preserve">References</w:t>
      </w:r>
    </w:p>
    <w:p>
      <w:pPr>
        <w:spacing w:after="60"/>
      </w:pPr>
      <w:r>
        <w:rPr>
          <w:sz w:val="18"/>
          <w:szCs w:val="18"/>
        </w:rPr>
        <w:t xml:space="preserve">1. Lin NU, Lee EQ, Aoyama H, et al. Response assessment criteria for brain metastases: proposal from the RANO group. Lancet Oncol. 2015;16(6):e270–e278.</w:t>
      </w:r>
    </w:p>
    <w:p>
      <w:pPr>
        <w:spacing w:after="60"/>
      </w:pPr>
      <w:r>
        <w:rPr>
          <w:sz w:val="18"/>
          <w:szCs w:val="18"/>
        </w:rPr>
        <w:t xml:space="preserve">2. Kanda T, Ishii K, Kawaguchi H, Kitajima K, Takenaka D. High signal intensity in the dentate nucleus and globus pallidus on unenhanced T1-weighted MR images: relationship with increasing cumulative dose of a gadolinium-based contrast material. Radiology. 2014;270(3):834–841.</w:t>
      </w:r>
    </w:p>
    <w:p>
      <w:pPr>
        <w:spacing w:after="60"/>
      </w:pPr>
      <w:r>
        <w:rPr>
          <w:sz w:val="18"/>
          <w:szCs w:val="18"/>
        </w:rPr>
        <w:t xml:space="preserve">3. Liu GH, Vahdat A, Huang DA, Theodorou EA, Nie W, Anandkumar A. I</w:t>
      </w:r>
      <w:r>
        <w:rPr>
          <w:sz w:val="18"/>
          <w:szCs w:val="18"/>
          <w:vertAlign w:val="superscript"/>
        </w:rPr>
        <w:t xml:space="preserve">2</w:t>
      </w:r>
      <w:r>
        <w:rPr>
          <w:sz w:val="18"/>
          <w:szCs w:val="18"/>
        </w:rPr>
        <w:t xml:space="preserve">SB: Image-to-Image Schrödinger Bridge. Proc ICML, PMLR 202:22042–22062. 2023.</w:t>
      </w:r>
    </w:p>
    <w:p>
      <w:pPr>
        <w:spacing w:after="60"/>
      </w:pPr>
      <w:r>
        <w:rPr>
          <w:sz w:val="18"/>
          <w:szCs w:val="18"/>
        </w:rPr>
        <w:t xml:space="preserve">4. Ronneberger O, Fischer P, Brox T. U-Net: Convolutional networks for biomedical image segmentation. MICCAI, LNCS 9351:234–241. 2015.</w:t>
      </w:r>
    </w:p>
    <w:p>
      <w:pPr>
        <w:spacing w:after="60"/>
      </w:pPr>
      <w:r>
        <w:rPr>
          <w:sz w:val="18"/>
          <w:szCs w:val="18"/>
        </w:rPr>
        <w:t xml:space="preserve">5. Link KE, Schnurman Z, Liu C, et al. Longitudinal deep neural networks for assessing metastatic brain cancer on a large open benchmark. Nat Commun. 2024;15:8170.</w:t>
      </w:r>
    </w:p>
    <w:p>
      <w:r>
        <w:br w:type="page"/>
      </w:r>
    </w:p>
    <w:p>
      <w:pPr>
        <w:pStyle w:val="Heading2"/>
        <w:spacing w:after="100" w:before="240"/>
      </w:pPr>
      <w:r>
        <w:t xml:space="preserve">Figures</w:t>
      </w:r>
    </w:p>
    <w:p>
      <w:pPr>
        <w:spacing w:after="60" w:before="120"/>
        <w:jc w:val="center"/>
      </w:pPr>
      <w:r>
        <w:drawing>
          <wp:inline distT="0" distB="0" distL="0" distR="0">
            <wp:extent cx="6305550" cy="27336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18"/>
          <w:szCs w:val="18"/>
        </w:rPr>
        <w:t xml:space="preserve">Figure 1:</w:t>
      </w:r>
      <w:r>
        <w:rPr>
          <w:sz w:val="18"/>
          <w:szCs w:val="18"/>
        </w:rPr>
        <w:t xml:space="preserve"> Longitudinal I</w:t>
      </w:r>
      <w:r>
        <w:rPr>
          <w:sz w:val="18"/>
          <w:szCs w:val="18"/>
          <w:vertAlign w:val="superscript"/>
        </w:rPr>
        <w:t xml:space="preserve">2</w:t>
      </w:r>
      <w:r>
        <w:rPr>
          <w:sz w:val="18"/>
          <w:szCs w:val="18"/>
        </w:rPr>
        <w:t xml:space="preserve">SB synthesis of the post-contrast T1 (CT1). The reverse bridge starts at the acquired pre-contrast T1 (</w:t>
      </w:r>
      <w:r>
        <w:rPr>
          <w:b/>
          <w:bCs/>
          <w:i/>
          <w:iCs/>
          <w:sz w:val="18"/>
          <w:szCs w:val="18"/>
        </w:rPr>
        <w:t xml:space="preserve">x</w:t>
      </w:r>
      <w:r>
        <w:rPr>
          <w:i/>
          <w:iCs/>
          <w:sz w:val="18"/>
          <w:szCs w:val="18"/>
          <w:vertAlign w:val="subscript"/>
        </w:rPr>
        <w:t xml:space="preserve">1</w:t>
      </w:r>
      <w:r>
        <w:rPr>
          <w:sz w:val="18"/>
          <w:szCs w:val="18"/>
        </w:rPr>
        <w:t xml:space="preserve">, t = 1) and reaches the synthesized CT1 (</w:t>
      </w:r>
      <w:r>
        <w:rPr>
          <w:b w:val="false"/>
          <w:bCs w:val="false"/>
          <w:i/>
          <w:iCs/>
          <w:sz w:val="18"/>
          <w:szCs w:val="18"/>
        </w:rPr>
        <w:t xml:space="preserve">x̂</w:t>
      </w:r>
      <w:r>
        <w:rPr>
          <w:i/>
          <w:iCs/>
          <w:sz w:val="18"/>
          <w:szCs w:val="18"/>
          <w:vertAlign w:val="subscript"/>
        </w:rPr>
        <w:t xml:space="preserve">0</w:t>
      </w:r>
      <w:r>
        <w:rPr>
          <w:sz w:val="18"/>
          <w:szCs w:val="18"/>
        </w:rPr>
        <w:t xml:space="preserve">, t = 0) in 20 steps; four states are shown, five steps apart. At every step the UNet predicts </w:t>
      </w:r>
      <w:r>
        <w:rPr>
          <w:b w:val="false"/>
          <w:bCs w:val="false"/>
          <w:i/>
          <w:iCs/>
          <w:sz w:val="18"/>
          <w:szCs w:val="18"/>
        </w:rPr>
        <w:t xml:space="preserve">x̂</w:t>
      </w:r>
      <w:r>
        <w:rPr>
          <w:i/>
          <w:iCs/>
          <w:sz w:val="18"/>
          <w:szCs w:val="18"/>
          <w:vertAlign w:val="subscript"/>
        </w:rPr>
        <w:t xml:space="preserve">0</w:t>
      </w:r>
      <w:r>
        <w:rPr>
          <w:sz w:val="18"/>
          <w:szCs w:val="18"/>
        </w:rPr>
        <w:t xml:space="preserve"> from the current state </w:t>
      </w:r>
      <w:r>
        <w:rPr>
          <w:b/>
          <w:bCs/>
          <w:i/>
          <w:iCs/>
          <w:sz w:val="18"/>
          <w:szCs w:val="18"/>
        </w:rPr>
        <w:t xml:space="preserve">x</w:t>
      </w:r>
      <w:r>
        <w:rPr>
          <w:i/>
          <w:iCs/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and the conditioning: the current FLAIR, T1 and T2, and the prior exam's T1 and CT1 at slices z−2…z+2, registered using FLAIR, T1 and T2 only. Resampling then blends </w:t>
      </w:r>
      <w:r>
        <w:rPr>
          <w:b w:val="false"/>
          <w:bCs w:val="false"/>
          <w:i/>
          <w:iCs/>
          <w:sz w:val="18"/>
          <w:szCs w:val="18"/>
        </w:rPr>
        <w:t xml:space="preserve">x̂</w:t>
      </w:r>
      <w:r>
        <w:rPr>
          <w:i/>
          <w:iCs/>
          <w:sz w:val="18"/>
          <w:szCs w:val="18"/>
          <w:vertAlign w:val="subscript"/>
        </w:rPr>
        <w:t xml:space="preserve">0</w:t>
      </w:r>
      <w:r>
        <w:rPr>
          <w:sz w:val="18"/>
          <w:szCs w:val="18"/>
        </w:rPr>
        <w:t xml:space="preserve"> with </w:t>
      </w:r>
      <w:r>
        <w:rPr>
          <w:b/>
          <w:bCs/>
          <w:i/>
          <w:iCs/>
          <w:sz w:val="18"/>
          <w:szCs w:val="18"/>
        </w:rPr>
        <w:t xml:space="preserve">x</w:t>
      </w:r>
      <w:r>
        <w:rPr>
          <w:i/>
          <w:iCs/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and adds noise to give the next state. Images are the trained model's own trajectory for one test exam; the acquired CT1 (right) is shown for reference only.</w:t>
      </w:r>
    </w:p>
    <w:p>
      <w:pPr>
        <w:spacing w:after="60" w:before="120"/>
        <w:jc w:val="center"/>
      </w:pPr>
      <w:r>
        <w:drawing>
          <wp:inline distT="0" distB="0" distL="0" distR="0">
            <wp:extent cx="5991225" cy="54673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18"/>
          <w:szCs w:val="18"/>
        </w:rPr>
        <w:t xml:space="preserve">Figure 2:</w:t>
      </w:r>
      <w:r>
        <w:rPr>
          <w:sz w:val="18"/>
          <w:szCs w:val="18"/>
        </w:rPr>
        <w:t xml:space="preserve"> Example test cases. Columns: current T1 (input), registered prior CT1, I</w:t>
      </w:r>
      <w:r>
        <w:rPr>
          <w:sz w:val="18"/>
          <w:szCs w:val="18"/>
          <w:vertAlign w:val="superscript"/>
        </w:rPr>
        <w:t xml:space="preserve">2</w:t>
      </w:r>
      <w:r>
        <w:rPr>
          <w:sz w:val="18"/>
          <w:szCs w:val="18"/>
        </w:rPr>
        <w:t xml:space="preserve">SB without the prior exam, I2SB with the prior exam, and the acquired CT1; magnified region with its 5× residual, PSNR/SSIM per panel.</w:t>
      </w:r>
    </w:p>
    <w:p>
      <w:pPr>
        <w:spacing w:after="60" w:before="120"/>
        <w:jc w:val="center"/>
      </w:pPr>
      <w:r>
        <w:drawing>
          <wp:inline distT="0" distB="0" distL="0" distR="0">
            <wp:extent cx="5676900" cy="16668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000"/>
      </w:tblGrid>
      <w:tr>
        <w:tc>
          <w:tcPr>
            <w:tcW w:type="dxa" w:w="2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PSNR (dB) ↑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SSIM (%) ↑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NRMSE (%) ↓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I2SB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24.79 ± 0.09</w:t>
            </w:r>
            <w:r>
              <w:rPr>
                <w:sz w:val="18"/>
                <w:szCs w:val="18"/>
                <w:vertAlign w:val="superscript"/>
              </w:rPr>
              <w:t xml:space="preserve">*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87.79 ± 0.21</w:t>
            </w:r>
            <w:r>
              <w:rPr>
                <w:sz w:val="18"/>
                <w:szCs w:val="18"/>
                <w:vertAlign w:val="superscript"/>
              </w:rPr>
              <w:t xml:space="preserve">*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13.07 ± 0.19</w:t>
            </w:r>
            <w:r>
              <w:rPr>
                <w:sz w:val="18"/>
                <w:szCs w:val="18"/>
                <w:vertAlign w:val="superscript"/>
              </w:rPr>
              <w:t xml:space="preserve">*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Longi-I2SB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25.73</w:t>
            </w:r>
            <w:r>
              <w:rPr>
                <w:sz w:val="18"/>
                <w:szCs w:val="18"/>
              </w:rPr>
              <w:t xml:space="preserve"> ± 0.10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90.83</w:t>
            </w:r>
            <w:r>
              <w:rPr>
                <w:sz w:val="18"/>
                <w:szCs w:val="18"/>
              </w:rPr>
              <w:t xml:space="preserve"> ± 0.19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11.97</w:t>
            </w:r>
            <w:r>
              <w:rPr>
                <w:sz w:val="18"/>
                <w:szCs w:val="18"/>
              </w:rPr>
              <w:t xml:space="preserve"> ± 0.19</w:t>
            </w:r>
          </w:p>
        </w:tc>
      </w:tr>
    </w:tbl>
    <w:p>
      <w:pPr>
        <w:spacing w:after="240"/>
      </w:pPr>
      <w:r>
        <w:rPr>
          <w:b/>
          <w:bCs/>
          <w:sz w:val="18"/>
          <w:szCs w:val="18"/>
        </w:rPr>
        <w:t xml:space="preserve">Figure 3:</w:t>
      </w:r>
      <w:r>
        <w:rPr>
          <w:sz w:val="18"/>
          <w:szCs w:val="18"/>
        </w:rPr>
        <w:t xml:space="preserve"> 1007 test studies, slices 70–109, metrics within the mask. Top: mean ± s.e. over studies; *** paired Wilcoxon signed-rank p ≤ 0.001 (Holm-adjusted); value axes do not start at zero. Bottom: summary; bold best, </w:t>
      </w:r>
      <w:r>
        <w:rPr>
          <w:sz w:val="18"/>
          <w:szCs w:val="18"/>
          <w:vertAlign w:val="superscript"/>
        </w:rPr>
        <w:t xml:space="preserve">*</w:t>
      </w:r>
      <w:r>
        <w:rPr>
          <w:sz w:val="18"/>
          <w:szCs w:val="18"/>
        </w:rPr>
        <w:t xml:space="preserve"> p &lt; 0.05 vs. the longitudinal model.</w:t>
      </w:r>
    </w:p>
    <w:p>
      <w:pPr>
        <w:spacing w:after="60" w:before="120"/>
        <w:jc w:val="center"/>
      </w:pPr>
      <w:r>
        <w:drawing>
          <wp:inline distT="0" distB="0" distL="0" distR="0">
            <wp:extent cx="5991225" cy="54673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18"/>
          <w:szCs w:val="18"/>
        </w:rPr>
        <w:t xml:space="preserve">Figure 4:</w:t>
      </w:r>
      <w:r>
        <w:rPr>
          <w:sz w:val="18"/>
          <w:szCs w:val="18"/>
        </w:rPr>
        <w:t xml:space="preserve"> Robustness to a poor prior exam: cases where the registered prior CT1 differs greatly from the current one. Columns as in Figure 2.</w:t>
      </w:r>
    </w:p>
    <w:p>
      <w:pPr>
        <w:spacing w:after="60" w:before="120"/>
        <w:jc w:val="center"/>
      </w:pPr>
      <w:r>
        <w:drawing>
          <wp:inline distT="0" distB="0" distL="0" distR="0">
            <wp:extent cx="4733925" cy="28956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18"/>
          <w:szCs w:val="18"/>
        </w:rPr>
        <w:t xml:space="preserve">Figure 5:</w:t>
      </w:r>
      <w:r>
        <w:rPr>
          <w:sz w:val="18"/>
          <w:szCs w:val="18"/>
        </w:rPr>
        <w:t xml:space="preserve"> PSNR gain of the longitudinal model over single-exam I2SB versus the prior PSNR: the registered prior CT1 scored against the current CT1 in the same mask and with the same data range as the reported metrics. Mean ± 1 standard deviation over the slices in 2 dB bins. The gain grows with prior similarity, from ≈+0.3 dB for the least similar priors to +2.5 dB for the most similar, and its mean is positive in every bin.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8fe6e2702ebfb8bb8586d5db6c3d99b92c90e0c.png"/><Relationship Id="rId8" Type="http://schemas.openxmlformats.org/officeDocument/2006/relationships/image" Target="media/b59ebde470b9725bd97b5a37d367bac920de3415.png"/><Relationship Id="rId9" Type="http://schemas.openxmlformats.org/officeDocument/2006/relationships/image" Target="media/78573f19401d465331819d10778e72e97d04687a.png"/><Relationship Id="rId10" Type="http://schemas.openxmlformats.org/officeDocument/2006/relationships/image" Target="media/37f1fa742f8c7d04be640c2fa9df15898528cb91.png"/><Relationship Id="rId11" Type="http://schemas.openxmlformats.org/officeDocument/2006/relationships/image" Target="media/ab78b08e38e3e31a1f49e4fb430457866a70c09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2026-10-27T16:17:23.547Z</dcterms:created>
  <dcterms:modified xsi:type="dcterms:W3CDTF">2026-10-27T16:17:23.548Z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