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overseen by the European Environment Agency (EEA). It establishes a framework promoting consistent, scalable and secure IT solutions. Emphasising modularity, reproducibility, transparency and maintainability, the guidelines are designed to support the CLMS programme’s IT vision, ensuring solutions are coherent, adaptable and operate efficiently. This document provides guidance on the design, development and operation of IT solutions within the CLMS ecosystem, ensuring alignment with best practices and evolving technologies.</dc:description>
  <cp:keywords>microservice architecture, REST API service, Continuous Integration and Continuous Deployment, Infrastructure-as-a-code, role-based access control, disaster recovery plan, Docker containers, automation scripts, pre-processing workflow, serverless functions</cp:keywords>
  <dcterms:created xsi:type="dcterms:W3CDTF">2026-02-05T09:01:21Z</dcterms:created>
  <dcterms:modified xsi:type="dcterms:W3CDTF">2026-02-05T09:01:21Z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