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description of the Copernicus Land Monitoring Service’s (CLMS) CLCplus Backbone 2023 product. As the first component of the CLCplus Product Suite, the Backbone represents a significant advancement in European land cover and land use monitoring, building upon the legacy of the CORINE Land Cover (CLC) initiative. This document details the product’s characteristics, including its 10-meter resolution, 11 land cover classes derived from Sentinel-2 imagery, and the methodologies and workflows used in its production, along with the auxiliary quality layers.</dc:description>
  <cp:keywords>Sentinel-2 time series, Land cover classification, Temporal Convolutional Neural Network, Bilateral filtering, Interannual calibration, Cloud Optimized GeoTIFF, Raster Confidence Layer, Raster Data Score Layer, Production Units, Sample data base</cp:keywords>
  <dcterms:created xsi:type="dcterms:W3CDTF">2025-12-01T18:06:01Z</dcterms:created>
  <dcterms:modified xsi:type="dcterms:W3CDTF">2025-12-01T18:06:01Z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