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2025-07-08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Product_Description_v3-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Product_Description_v3-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5000"/>
        <w:tblLayout w:type="fixed"/>
        <w:tblLook w:firstRow="1" w:lastRow="0" w:firstColumn="0" w:lastColumn="0" w:noHBand="0" w:noVBand="0" w:val="0020"/>
        <w:tblCaption w:val="Table 5 EGMS Basic and Calibrated product attributes. DP, digits precision"/>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Unit of measure</w:t>
            </w:r>
          </w:p>
        </w:tc>
        <w:tc>
          <w:tcPr/>
          <w:p>
            <w:pPr>
              <w:pStyle w:val="Compact"/>
            </w:pPr>
            <w:r>
              <w:t xml:space="preserve">Meaning</w:t>
            </w:r>
          </w:p>
        </w:tc>
        <w:tc>
          <w:tcPr/>
          <w:p>
            <w:pPr>
              <w:pStyle w:val="Compact"/>
            </w:pPr>
            <w:r>
              <w:t xml:space="preserve">Example</w:t>
            </w:r>
          </w:p>
        </w:tc>
        <w:tc>
          <w:tcPr/>
          <w:p>
            <w:pPr>
              <w:pStyle w:val="Compact"/>
            </w:pPr>
            <w:r>
              <w:t xml:space="preserve">Data format</w:t>
            </w:r>
          </w:p>
        </w:tc>
      </w:tr>
      <w:tr>
        <w:tc>
          <w:tcPr/>
          <w:p>
            <w:pPr>
              <w:pStyle w:val="Compact"/>
            </w:pPr>
            <w:r>
              <w:t xml:space="preserve">pid</w:t>
            </w:r>
          </w:p>
        </w:tc>
        <w:tc>
          <w:tcPr/>
          <w:p>
            <w:pPr>
              <w:pStyle w:val="Compact"/>
            </w:pPr>
            <w:r>
              <w:t xml:space="preserve">-</w:t>
            </w:r>
          </w:p>
        </w:tc>
        <w:tc>
          <w:tcPr/>
          <w:p>
            <w:pPr>
              <w:pStyle w:val="Compact"/>
            </w:pPr>
            <w:r>
              <w:t xml:space="preserve">MP unique identifier – 10 characters.</w:t>
            </w:r>
          </w:p>
        </w:tc>
        <w:tc>
          <w:tcPr/>
          <w:p>
            <w:pPr>
              <w:pStyle w:val="Compact"/>
            </w:pPr>
            <w:r>
              <w:t xml:space="preserve">3ODTn5TNYv</w:t>
            </w:r>
          </w:p>
        </w:tc>
        <w:tc>
          <w:tcPr/>
          <w:p>
            <w:pPr>
              <w:pStyle w:val="Compact"/>
            </w:pPr>
            <w:r>
              <w:t xml:space="preserve">Alphanumeric Base 62</w:t>
            </w:r>
          </w:p>
        </w:tc>
      </w:tr>
      <w:tr>
        <w:tc>
          <w:tcPr/>
          <w:p>
            <w:pPr>
              <w:pStyle w:val="Compact"/>
            </w:pPr>
            <w:r>
              <w:t xml:space="preserve">cluster_label</w:t>
            </w:r>
          </w:p>
        </w:tc>
        <w:tc>
          <w:tcPr/>
          <w:p>
            <w:pPr>
              <w:pStyle w:val="Compact"/>
            </w:pPr>
            <w:r>
              <w:t xml:space="preserve">-</w:t>
            </w:r>
          </w:p>
        </w:tc>
        <w:tc>
          <w:tcPr/>
          <w:p>
            <w:pPr>
              <w:pStyle w:val="Compact"/>
            </w:pPr>
            <w:r>
              <w:t xml:space="preserve">Available just for Basic products.Label which identifies, for each MP, the cluster it belongs to. The label is 0 if there is just one cluster in the burst.The label assumes the values from 1 to N if there are more than one clusters in the burst (with N the number of clusters).</w:t>
            </w:r>
          </w:p>
        </w:tc>
        <w:tc>
          <w:tcPr/>
          <w:p>
            <w:pPr>
              <w:pStyle w:val="Compact"/>
            </w:pPr>
            <w:r>
              <w:t xml:space="preserve">0</w:t>
            </w:r>
          </w:p>
        </w:tc>
        <w:tc>
          <w:tcPr/>
          <w:p>
            <w:pPr>
              <w:pStyle w:val="Compact"/>
            </w:pPr>
            <w:r>
              <w:t xml:space="preserve">integer</w:t>
            </w:r>
          </w:p>
        </w:tc>
      </w:tr>
      <w:tr>
        <w:tc>
          <w:tcPr/>
          <w:p>
            <w:pPr>
              <w:pStyle w:val="Compact"/>
            </w:pPr>
            <w:r>
              <w:t xml:space="preserve">mp_type</w:t>
            </w:r>
          </w:p>
        </w:tc>
        <w:tc>
          <w:tcPr/>
          <w:p>
            <w:pPr>
              <w:pStyle w:val="Compact"/>
            </w:pPr>
            <w:r>
              <w:t xml:space="preserve">m2</w:t>
            </w:r>
          </w:p>
        </w:tc>
        <w:tc>
          <w:tcPr/>
          <w:p>
            <w:pPr>
              <w:pStyle w:val="Compact"/>
            </w:pPr>
            <w:r>
              <w:t xml:space="preserve">‘Effective Area’</w:t>
            </w:r>
            <w:r>
              <w:t xml:space="preserve"> </w:t>
            </w:r>
            <w:r>
              <w:t xml:space="preserve">of the DS (#Looks x Area of 1 pixel over flat terrain). 0 = PS</w:t>
            </w:r>
          </w:p>
        </w:tc>
        <w:tc>
          <w:tcPr/>
          <w:p>
            <w:pPr>
              <w:pStyle w:val="Compact"/>
            </w:pPr>
            <w:r>
              <w:t xml:space="preserve">400</w:t>
            </w:r>
          </w:p>
        </w:tc>
        <w:tc>
          <w:tcPr/>
          <w:p>
            <w:pPr>
              <w:pStyle w:val="Compact"/>
            </w:pPr>
            <w:r>
              <w:t xml:space="preserve">integer</w:t>
            </w:r>
          </w:p>
        </w:tc>
      </w:tr>
      <w:tr>
        <w:tc>
          <w:tcPr/>
          <w:p>
            <w:pPr>
              <w:pStyle w:val="Compact"/>
            </w:pPr>
            <w:r>
              <w:t xml:space="preserve">latitude</w:t>
            </w:r>
          </w:p>
        </w:tc>
        <w:tc>
          <w:tcPr/>
          <w:p>
            <w:pPr>
              <w:pStyle w:val="Compact"/>
            </w:pPr>
            <w:r>
              <w:t xml:space="preserve">deg</w:t>
            </w:r>
          </w:p>
        </w:tc>
        <w:tc>
          <w:tcPr/>
          <w:p>
            <w:pPr>
              <w:pStyle w:val="Compact"/>
            </w:pPr>
            <w:r>
              <w:t xml:space="preserve">MP latitude. 6 digits after the point.</w:t>
            </w:r>
          </w:p>
        </w:tc>
        <w:tc>
          <w:tcPr/>
          <w:p>
            <w:pPr>
              <w:pStyle w:val="Compact"/>
            </w:pPr>
            <w:r>
              <w:t xml:space="preserve">45.567812</w:t>
            </w:r>
          </w:p>
        </w:tc>
        <w:tc>
          <w:tcPr/>
          <w:p>
            <w:pPr>
              <w:pStyle w:val="Compact"/>
            </w:pPr>
            <w:r>
              <w:t xml:space="preserve">6 DP</w:t>
            </w:r>
          </w:p>
        </w:tc>
      </w:tr>
      <w:tr>
        <w:tc>
          <w:tcPr/>
          <w:p>
            <w:pPr>
              <w:pStyle w:val="Compact"/>
            </w:pPr>
            <w:r>
              <w:t xml:space="preserve">longitude</w:t>
            </w:r>
          </w:p>
        </w:tc>
        <w:tc>
          <w:tcPr/>
          <w:p>
            <w:pPr>
              <w:pStyle w:val="Compact"/>
            </w:pPr>
            <w:r>
              <w:t xml:space="preserve">deg</w:t>
            </w:r>
          </w:p>
        </w:tc>
        <w:tc>
          <w:tcPr/>
          <w:p>
            <w:pPr>
              <w:pStyle w:val="Compact"/>
            </w:pPr>
            <w:r>
              <w:t xml:space="preserve">MP longitude. 6 digits after the point.</w:t>
            </w:r>
          </w:p>
        </w:tc>
        <w:tc>
          <w:tcPr/>
          <w:p>
            <w:pPr>
              <w:pStyle w:val="Compact"/>
            </w:pPr>
            <w:r>
              <w:t xml:space="preserve">12.123412</w:t>
            </w:r>
          </w:p>
        </w:tc>
        <w:tc>
          <w:tcPr/>
          <w:p>
            <w:pPr>
              <w:pStyle w:val="Compact"/>
            </w:pPr>
            <w:r>
              <w:t xml:space="preserve">6 DP</w:t>
            </w:r>
          </w:p>
        </w:tc>
      </w:tr>
      <w:tr>
        <w:tc>
          <w:tcPr/>
          <w:p>
            <w:pPr>
              <w:pStyle w:val="Compact"/>
            </w:pPr>
            <w:r>
              <w:t xml:space="preserve">easting</w:t>
            </w:r>
          </w:p>
        </w:tc>
        <w:tc>
          <w:tcPr/>
          <w:p>
            <w:pPr>
              <w:pStyle w:val="Compact"/>
            </w:pPr>
            <w:r>
              <w:t xml:space="preserve">m</w:t>
            </w:r>
          </w:p>
        </w:tc>
        <w:tc>
          <w:tcPr/>
          <w:p>
            <w:pPr>
              <w:pStyle w:val="Compact"/>
            </w:pPr>
            <w:r>
              <w:t xml:space="preserve">ETRS89-LAEA.</w:t>
            </w:r>
          </w:p>
        </w:tc>
        <w:tc>
          <w:tcPr/>
          <w:p>
            <w:pPr>
              <w:pStyle w:val="Compact"/>
            </w:pPr>
            <w:r>
              <w:t xml:space="preserve">4662111.45</w:t>
            </w:r>
          </w:p>
        </w:tc>
        <w:tc>
          <w:tcPr/>
          <w:p>
            <w:pPr>
              <w:pStyle w:val="Compact"/>
            </w:pPr>
            <w:r>
              <w:t xml:space="preserve">2 DP</w:t>
            </w:r>
          </w:p>
        </w:tc>
      </w:tr>
      <w:tr>
        <w:tc>
          <w:tcPr/>
          <w:p>
            <w:pPr>
              <w:pStyle w:val="Compact"/>
            </w:pPr>
            <w:r>
              <w:t xml:space="preserve">northing</w:t>
            </w:r>
          </w:p>
        </w:tc>
        <w:tc>
          <w:tcPr/>
          <w:p>
            <w:pPr>
              <w:pStyle w:val="Compact"/>
            </w:pPr>
            <w:r>
              <w:t xml:space="preserve">m</w:t>
            </w:r>
          </w:p>
        </w:tc>
        <w:tc>
          <w:tcPr/>
          <w:p>
            <w:pPr>
              <w:pStyle w:val="Compact"/>
            </w:pPr>
            <w:r>
              <w:t xml:space="preserve">ETRS89-LAEA.</w:t>
            </w:r>
          </w:p>
        </w:tc>
        <w:tc>
          <w:tcPr/>
          <w:p>
            <w:pPr>
              <w:pStyle w:val="Compact"/>
            </w:pPr>
            <w:r>
              <w:t xml:space="preserve">115345.12</w:t>
            </w:r>
          </w:p>
        </w:tc>
        <w:tc>
          <w:tcPr/>
          <w:p>
            <w:pPr>
              <w:pStyle w:val="Compact"/>
            </w:pPr>
            <w:r>
              <w:t xml:space="preserve">2 DP</w:t>
            </w:r>
          </w:p>
        </w:tc>
      </w:tr>
      <w:tr>
        <w:tc>
          <w:tcPr/>
          <w:p>
            <w:pPr>
              <w:pStyle w:val="Compact"/>
            </w:pPr>
            <w:r>
              <w:t xml:space="preserve">height</w:t>
            </w:r>
          </w:p>
        </w:tc>
        <w:tc>
          <w:tcPr/>
          <w:p>
            <w:pPr>
              <w:pStyle w:val="Compact"/>
            </w:pPr>
            <w:r>
              <w:t xml:space="preserve">m</w:t>
            </w:r>
          </w:p>
        </w:tc>
        <w:tc>
          <w:tcPr/>
          <w:p>
            <w:pPr>
              <w:pStyle w:val="Compact"/>
            </w:pPr>
            <w:r>
              <w:t xml:space="preserve">MP orthometric height wrt EGM2008 geoid.</w:t>
            </w:r>
          </w:p>
        </w:tc>
        <w:tc>
          <w:tcPr/>
          <w:p>
            <w:pPr>
              <w:pStyle w:val="Compact"/>
            </w:pPr>
            <w:r>
              <w:t xml:space="preserve">67.4</w:t>
            </w:r>
          </w:p>
        </w:tc>
        <w:tc>
          <w:tcPr/>
          <w:p>
            <w:pPr>
              <w:pStyle w:val="Compact"/>
            </w:pPr>
            <w:r>
              <w:t xml:space="preserve">1 DP</w:t>
            </w:r>
          </w:p>
        </w:tc>
      </w:tr>
      <w:tr>
        <w:tc>
          <w:tcPr/>
          <w:p>
            <w:pPr>
              <w:pStyle w:val="Compact"/>
            </w:pPr>
            <w:r>
              <w:t xml:space="preserve">height_wgs84</w:t>
            </w:r>
          </w:p>
        </w:tc>
        <w:tc>
          <w:tcPr/>
          <w:p>
            <w:pPr>
              <w:pStyle w:val="Compact"/>
            </w:pPr>
            <w:r>
              <w:t xml:space="preserve">m</w:t>
            </w:r>
          </w:p>
        </w:tc>
        <w:tc>
          <w:tcPr/>
          <w:p>
            <w:pPr>
              <w:pStyle w:val="Compact"/>
            </w:pPr>
            <w:r>
              <w:t xml:space="preserve">MP ellipsoidal height wrt to WGS84 ellipsoid.</w:t>
            </w:r>
          </w:p>
        </w:tc>
        <w:tc>
          <w:tcPr/>
          <w:p>
            <w:pPr>
              <w:pStyle w:val="Compact"/>
            </w:pPr>
            <w:r>
              <w:t xml:space="preserve">72.3</w:t>
            </w:r>
          </w:p>
        </w:tc>
        <w:tc>
          <w:tcPr/>
          <w:p>
            <w:pPr>
              <w:pStyle w:val="Compact"/>
            </w:pPr>
            <w:r>
              <w:t xml:space="preserve">1 DP</w:t>
            </w:r>
          </w:p>
        </w:tc>
      </w:tr>
      <w:tr>
        <w:tc>
          <w:tcPr/>
          <w:p>
            <w:pPr>
              <w:pStyle w:val="Compact"/>
            </w:pPr>
            <w:r>
              <w:t xml:space="preserve">line</w:t>
            </w:r>
          </w:p>
        </w:tc>
        <w:tc>
          <w:tcPr/>
          <w:p>
            <w:pPr>
              <w:pStyle w:val="Compact"/>
            </w:pPr>
            <w:r>
              <w:t xml:space="preserve">pixel</w:t>
            </w:r>
          </w:p>
        </w:tc>
        <w:tc>
          <w:tcPr/>
          <w:p>
            <w:pPr>
              <w:pStyle w:val="Compact"/>
            </w:pPr>
            <w:r>
              <w:t xml:space="preserve">Azimuth position of the MPs within the burst wrt the reference product annotated in metadata.</w:t>
            </w:r>
          </w:p>
        </w:tc>
        <w:tc>
          <w:tcPr/>
          <w:p>
            <w:pPr>
              <w:pStyle w:val="Compact"/>
            </w:pPr>
            <w:r>
              <w:t xml:space="preserve">456</w:t>
            </w:r>
          </w:p>
        </w:tc>
        <w:tc>
          <w:tcPr/>
          <w:p>
            <w:pPr>
              <w:pStyle w:val="Compact"/>
            </w:pPr>
            <w:r>
              <w:t xml:space="preserve">integer</w:t>
            </w:r>
          </w:p>
        </w:tc>
      </w:tr>
      <w:tr>
        <w:tc>
          <w:tcPr/>
          <w:p>
            <w:pPr>
              <w:pStyle w:val="Compact"/>
            </w:pPr>
            <w:r>
              <w:t xml:space="preserve">pixel</w:t>
            </w:r>
          </w:p>
        </w:tc>
        <w:tc>
          <w:tcPr/>
          <w:p>
            <w:pPr>
              <w:pStyle w:val="Compact"/>
            </w:pPr>
            <w:r>
              <w:t xml:space="preserve">pixel</w:t>
            </w:r>
          </w:p>
        </w:tc>
        <w:tc>
          <w:tcPr/>
          <w:p>
            <w:pPr>
              <w:pStyle w:val="Compact"/>
            </w:pPr>
            <w:r>
              <w:t xml:space="preserve">Range position of the MPs within the burst wrt the reference product annotated in metadata.</w:t>
            </w:r>
          </w:p>
        </w:tc>
        <w:tc>
          <w:tcPr/>
          <w:p>
            <w:pPr>
              <w:pStyle w:val="Compact"/>
            </w:pPr>
            <w:r>
              <w:t xml:space="preserve">124</w:t>
            </w:r>
          </w:p>
        </w:tc>
        <w:tc>
          <w:tcPr/>
          <w:p>
            <w:pPr>
              <w:pStyle w:val="Compact"/>
            </w:pPr>
            <w:r>
              <w:t xml:space="preserve">integer</w:t>
            </w:r>
          </w:p>
        </w:tc>
      </w:tr>
      <w:tr>
        <w:tc>
          <w:tcPr/>
          <w:p>
            <w:pPr>
              <w:pStyle w:val="Compact"/>
            </w:pPr>
            <w:r>
              <w:t xml:space="preserve">rmse</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temporal_coherence</w:t>
            </w:r>
          </w:p>
        </w:tc>
        <w:tc>
          <w:tcPr/>
          <w:p>
            <w:pPr>
              <w:pStyle w:val="Compact"/>
            </w:pPr>
            <w:r>
              <w:t xml:space="preserve">-</w:t>
            </w:r>
          </w:p>
        </w:tc>
        <w:tc>
          <w:tcPr/>
          <w:p>
            <w:pPr>
              <w:pStyle w:val="Compact"/>
            </w:pPr>
            <w:r>
              <w:t xml:space="preserve">MP coherence with respect to the linear regressed velocity.</w:t>
            </w:r>
          </w:p>
        </w:tc>
        <w:tc>
          <w:tcPr/>
          <w:p>
            <w:pPr>
              <w:pStyle w:val="Compact"/>
            </w:pPr>
            <w:r>
              <w:t xml:space="preserve">0.54</w:t>
            </w:r>
          </w:p>
        </w:tc>
        <w:tc>
          <w:tcPr/>
          <w:p>
            <w:pPr>
              <w:pStyle w:val="Compact"/>
            </w:pPr>
            <w:r>
              <w:t xml:space="preserve">2 DP</w:t>
            </w:r>
          </w:p>
        </w:tc>
      </w:tr>
      <w:tr>
        <w:tc>
          <w:tcPr/>
          <w:p>
            <w:pPr>
              <w:pStyle w:val="Compact"/>
            </w:pPr>
            <w:r>
              <w:t xml:space="preserve">amplitude_dispersion</w:t>
            </w:r>
          </w:p>
        </w:tc>
        <w:tc>
          <w:tcPr/>
          <w:p>
            <w:pPr>
              <w:pStyle w:val="Compact"/>
            </w:pPr>
            <w:r>
              <w:t xml:space="preserve">-</w:t>
            </w:r>
          </w:p>
        </w:tc>
        <w:tc>
          <w:tcPr/>
          <w:p>
            <w:pPr>
              <w:pStyle w:val="Compact"/>
            </w:pPr>
            <w:r>
              <w:t xml:space="preserve">Amplitude Dispersion Index –Standard Deviation of amplitude / Mean amplitude</w:t>
            </w:r>
          </w:p>
        </w:tc>
        <w:tc>
          <w:tcPr/>
          <w:p>
            <w:pPr>
              <w:pStyle w:val="Compact"/>
            </w:pPr>
            <w:r>
              <w:t xml:space="preserve">0.25</w:t>
            </w:r>
          </w:p>
        </w:tc>
        <w:tc>
          <w:tcPr/>
          <w:p>
            <w:pPr>
              <w:pStyle w:val="Compact"/>
            </w:pPr>
            <w:r>
              <w:t xml:space="preserve">2 DP</w:t>
            </w:r>
          </w:p>
        </w:tc>
      </w:tr>
      <w:tr>
        <w:tc>
          <w:tcPr/>
          <w:p>
            <w:pPr>
              <w:pStyle w:val="Compact"/>
            </w:pPr>
            <w:r>
              <w:t xml:space="preserve">incidence_angle</w:t>
            </w:r>
          </w:p>
        </w:tc>
        <w:tc>
          <w:tcPr/>
          <w:p>
            <w:pPr>
              <w:pStyle w:val="Compact"/>
            </w:pPr>
            <w:r>
              <w:t xml:space="preserve">deg</w:t>
            </w:r>
          </w:p>
        </w:tc>
        <w:tc>
          <w:tcPr/>
          <w:p>
            <w:pPr>
              <w:pStyle w:val="Compact"/>
            </w:pPr>
            <w:r>
              <w:t xml:space="preserve">Incidence angle for each MP.</w:t>
            </w:r>
          </w:p>
        </w:tc>
        <w:tc>
          <w:tcPr/>
          <w:p>
            <w:pPr>
              <w:pStyle w:val="Compact"/>
            </w:pPr>
            <w:r>
              <w:t xml:space="preserve">40.56</w:t>
            </w:r>
          </w:p>
        </w:tc>
        <w:tc>
          <w:tcPr/>
          <w:p>
            <w:pPr>
              <w:pStyle w:val="Compact"/>
            </w:pPr>
            <w:r>
              <w:t xml:space="preserve">2 DP</w:t>
            </w:r>
          </w:p>
        </w:tc>
      </w:tr>
      <w:tr>
        <w:tc>
          <w:tcPr/>
          <w:p>
            <w:pPr>
              <w:pStyle w:val="Compact"/>
            </w:pPr>
            <w:r>
              <w:t xml:space="preserve">track_angle</w:t>
            </w:r>
          </w:p>
        </w:tc>
        <w:tc>
          <w:tcPr/>
          <w:p>
            <w:pPr>
              <w:pStyle w:val="Compact"/>
            </w:pPr>
            <w:r>
              <w:t xml:space="preserve">deg</w:t>
            </w:r>
          </w:p>
        </w:tc>
        <w:tc>
          <w:tcPr/>
          <w:p>
            <w:pPr>
              <w:pStyle w:val="Compact"/>
            </w:pPr>
            <w:r>
              <w:t xml:space="preserve">Track angle for each MP.Values vary between 0 and 360° or -180° and 270°</w:t>
            </w:r>
          </w:p>
        </w:tc>
        <w:tc>
          <w:tcPr/>
          <w:p>
            <w:pPr>
              <w:pStyle w:val="Compact"/>
            </w:pPr>
            <w:r>
              <w:t xml:space="preserve">8.23</w:t>
            </w:r>
          </w:p>
        </w:tc>
        <w:tc>
          <w:tcPr/>
          <w:p>
            <w:pPr>
              <w:pStyle w:val="Compact"/>
            </w:pPr>
            <w:r>
              <w:t xml:space="preserve">2 DP</w:t>
            </w:r>
          </w:p>
        </w:tc>
      </w:tr>
      <w:tr>
        <w:tc>
          <w:tcPr/>
          <w:p>
            <w:pPr>
              <w:pStyle w:val="Compact"/>
            </w:pPr>
            <w:r>
              <w:t xml:space="preserve">los_east</w:t>
            </w:r>
          </w:p>
        </w:tc>
        <w:tc>
          <w:tcPr/>
          <w:p>
            <w:pPr>
              <w:pStyle w:val="Compact"/>
            </w:pPr>
            <w:r>
              <w:t xml:space="preserve">-</w:t>
            </w:r>
          </w:p>
        </w:tc>
        <w:tc>
          <w:tcPr/>
          <w:p>
            <w:pPr>
              <w:pStyle w:val="Compact"/>
            </w:pPr>
            <w:r>
              <w:t xml:space="preserve">LOS direction cosine, east</w:t>
            </w:r>
          </w:p>
        </w:tc>
        <w:tc>
          <w:tcPr/>
          <w:p>
            <w:pPr>
              <w:pStyle w:val="Compact"/>
            </w:pPr>
            <w:r>
              <w:t xml:space="preserve">0.345</w:t>
            </w:r>
          </w:p>
        </w:tc>
        <w:tc>
          <w:tcPr/>
          <w:p>
            <w:pPr>
              <w:pStyle w:val="Compact"/>
            </w:pPr>
            <w:r>
              <w:t xml:space="preserve">3 DP</w:t>
            </w:r>
          </w:p>
        </w:tc>
      </w:tr>
      <w:tr>
        <w:tc>
          <w:tcPr/>
          <w:p>
            <w:pPr>
              <w:pStyle w:val="Compact"/>
            </w:pPr>
            <w:r>
              <w:t xml:space="preserve">los_north</w:t>
            </w:r>
          </w:p>
        </w:tc>
        <w:tc>
          <w:tcPr/>
          <w:p>
            <w:pPr>
              <w:pStyle w:val="Compact"/>
            </w:pPr>
            <w:r>
              <w:t xml:space="preserve">-</w:t>
            </w:r>
          </w:p>
        </w:tc>
        <w:tc>
          <w:tcPr/>
          <w:p>
            <w:pPr>
              <w:pStyle w:val="Compact"/>
            </w:pPr>
            <w:r>
              <w:t xml:space="preserve">LOS direction cosine, north</w:t>
            </w:r>
          </w:p>
        </w:tc>
        <w:tc>
          <w:tcPr/>
          <w:p>
            <w:pPr>
              <w:pStyle w:val="Compact"/>
            </w:pPr>
            <w:r>
              <w:t xml:space="preserve">-0.012</w:t>
            </w:r>
          </w:p>
        </w:tc>
        <w:tc>
          <w:tcPr/>
          <w:p>
            <w:pPr>
              <w:pStyle w:val="Compact"/>
            </w:pPr>
            <w:r>
              <w:t xml:space="preserve">3 DP</w:t>
            </w:r>
          </w:p>
        </w:tc>
      </w:tr>
      <w:tr>
        <w:tc>
          <w:tcPr/>
          <w:p>
            <w:pPr>
              <w:pStyle w:val="Compact"/>
            </w:pPr>
            <w:r>
              <w:t xml:space="preserve">los_up</w:t>
            </w:r>
          </w:p>
        </w:tc>
        <w:tc>
          <w:tcPr/>
          <w:p>
            <w:pPr>
              <w:pStyle w:val="Compact"/>
            </w:pPr>
            <w:r>
              <w:t xml:space="preserve">-</w:t>
            </w:r>
          </w:p>
        </w:tc>
        <w:tc>
          <w:tcPr/>
          <w:p>
            <w:pPr>
              <w:pStyle w:val="Compact"/>
            </w:pPr>
            <w:r>
              <w:t xml:space="preserve">LOS direction cosine, up</w:t>
            </w:r>
          </w:p>
        </w:tc>
        <w:tc>
          <w:tcPr/>
          <w:p>
            <w:pPr>
              <w:pStyle w:val="Compact"/>
            </w:pPr>
            <w:r>
              <w:t xml:space="preserve">0.546</w:t>
            </w:r>
          </w:p>
        </w:tc>
        <w:tc>
          <w:tcPr/>
          <w:p>
            <w:pPr>
              <w:pStyle w:val="Compact"/>
            </w:pPr>
            <w:r>
              <w:t xml:space="preserve">3 DP</w:t>
            </w:r>
          </w:p>
        </w:tc>
      </w:tr>
      <w:tr>
        <w:tc>
          <w:tcPr/>
          <w:p>
            <w:pPr>
              <w:pStyle w:val="Compact"/>
            </w:pPr>
            <w:r>
              <w:t xml:space="preserve">mean_velocity</w:t>
            </w:r>
          </w:p>
        </w:tc>
        <w:tc>
          <w:tcPr/>
          <w:p>
            <w:pPr>
              <w:pStyle w:val="Compact"/>
            </w:pPr>
            <w:r>
              <w:t xml:space="preserve">mm/year</w:t>
            </w:r>
          </w:p>
        </w:tc>
        <w:tc>
          <w:tcPr/>
          <w:p>
            <w:pPr>
              <w:pStyle w:val="Compact"/>
            </w:pPr>
            <w:r>
              <w:t xml:space="preserve">Evaluated on the time series residuals after applying a regression model of a first orderpolynomial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mean_velocity_std</w:t>
            </w:r>
          </w:p>
        </w:tc>
        <w:tc>
          <w:tcPr/>
          <w:p>
            <w:pPr>
              <w:pStyle w:val="Compact"/>
            </w:pPr>
            <w:r>
              <w:t xml:space="preserve">mm/year</w:t>
            </w:r>
          </w:p>
        </w:tc>
        <w:tc>
          <w:tcPr/>
          <w:p>
            <w:pPr>
              <w:pStyle w:val="Compact"/>
            </w:pPr>
            <w:r>
              <w:t xml:space="preserve">Estimated standard deviation of the mean velocity using variance propagation on the regression model, without considering the atmospheric phase screen.</w:t>
            </w:r>
          </w:p>
        </w:tc>
        <w:tc>
          <w:tcPr/>
          <w:p>
            <w:pPr>
              <w:pStyle w:val="Compact"/>
            </w:pPr>
            <w:r>
              <w:t xml:space="preserve">2.1</w:t>
            </w:r>
          </w:p>
        </w:tc>
        <w:tc>
          <w:tcPr/>
          <w:p>
            <w:pPr>
              <w:pStyle w:val="Compact"/>
            </w:pPr>
            <w:r>
              <w:t xml:space="preserve">1 DP</w:t>
            </w:r>
          </w:p>
        </w:tc>
      </w:tr>
      <w:tr>
        <w:tc>
          <w:tcPr/>
          <w:p>
            <w:pPr>
              <w:pStyle w:val="Compact"/>
            </w:pPr>
            <w:r>
              <w:t xml:space="preserve">acceleration</w:t>
            </w:r>
          </w:p>
        </w:tc>
        <w:tc>
          <w:tcPr/>
          <w:p>
            <w:pPr>
              <w:pStyle w:val="Compact"/>
            </w:pPr>
            <w:r>
              <w:t xml:space="preserve">mm/ year2</w:t>
            </w:r>
          </w:p>
        </w:tc>
        <w:tc>
          <w:tcPr/>
          <w:p>
            <w:pPr>
              <w:pStyle w:val="Compac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 (a_{0}+a_{1}x+a_{2}</w:t>
            </w:r>
            <w:r>
              <w:rPr>
                <w:vertAlign w:val="superscript"/>
              </w:rPr>
              <w:t xml:space="preserve">{2}x</w:t>
            </w:r>
            <w:r>
              <w:t xml:space="preserve">{2}) ).</w:t>
            </w:r>
          </w:p>
        </w:tc>
        <w:tc>
          <w:tcPr/>
          <w:p>
            <w:pPr>
              <w:pStyle w:val="Compact"/>
            </w:pPr>
            <w:r>
              <w:t xml:space="preserve">0.51</w:t>
            </w:r>
          </w:p>
        </w:tc>
        <w:tc>
          <w:tcPr/>
          <w:p>
            <w:pPr>
              <w:pStyle w:val="Compact"/>
            </w:pPr>
            <w:r>
              <w:t xml:space="preserve">2 DP</w:t>
            </w:r>
          </w:p>
        </w:tc>
      </w:tr>
      <w:tr>
        <w:tc>
          <w:tcPr/>
          <w:p>
            <w:pPr>
              <w:pStyle w:val="Compact"/>
            </w:pPr>
            <w:r>
              <w:t xml:space="preserve">acceleration_std</w:t>
            </w:r>
          </w:p>
        </w:tc>
        <w:tc>
          <w:tcPr/>
          <w:p>
            <w:pPr>
              <w:pStyle w:val="Compact"/>
            </w:pPr>
            <w:r>
              <w:t xml:space="preserve">mm/ year2</w:t>
            </w:r>
          </w:p>
        </w:tc>
        <w:tc>
          <w:tcPr/>
          <w:p>
            <w:pPr>
              <w:pStyle w:val="Compact"/>
            </w:pPr>
            <w:r>
              <w:t xml:space="preserve">Estimated standard deviation of the acceleration using variance propagation on the regression model.</w:t>
            </w:r>
          </w:p>
        </w:tc>
        <w:tc>
          <w:tcPr/>
          <w:p>
            <w:pPr>
              <w:pStyle w:val="Compact"/>
            </w:pPr>
            <w:r>
              <w:t xml:space="preserve">0.42</w:t>
            </w:r>
          </w:p>
        </w:tc>
        <w:tc>
          <w:tcPr/>
          <w:p>
            <w:pPr>
              <w:pStyle w:val="Compact"/>
            </w:pPr>
            <w:r>
              <w:t xml:space="preserve">2 DP</w:t>
            </w:r>
          </w:p>
        </w:tc>
      </w:tr>
      <w:tr>
        <w:tc>
          <w:tcPr/>
          <w:p>
            <w:pPr>
              <w:pStyle w:val="Compact"/>
            </w:pPr>
            <w:r>
              <w:t xml:space="preserve">seasonality</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pPr>
            <w:r>
              <w:t xml:space="preserve">2.3</w:t>
            </w:r>
          </w:p>
        </w:tc>
        <w:tc>
          <w:tcPr/>
          <w:p>
            <w:pPr>
              <w:pStyle w:val="Compact"/>
            </w:pPr>
            <w:r>
              <w:t xml:space="preserve">1 DP</w:t>
            </w:r>
          </w:p>
        </w:tc>
      </w:tr>
      <w:tr>
        <w:tc>
          <w:tcPr/>
          <w:p>
            <w:pPr>
              <w:pStyle w:val="Compact"/>
            </w:pPr>
            <w:r>
              <w:t xml:space="preserve">seasonality_std</w:t>
            </w:r>
          </w:p>
        </w:tc>
        <w:tc>
          <w:tcPr/>
          <w:p>
            <w:pPr>
              <w:pStyle w:val="Compact"/>
            </w:pPr>
            <w:r>
              <w:t xml:space="preserve">mm</w:t>
            </w:r>
          </w:p>
        </w:tc>
        <w:tc>
          <w:tcPr/>
          <w:p>
            <w:pPr>
              <w:pStyle w:val="Compact"/>
            </w:pPr>
            <w:r>
              <w:t xml:space="preserve">Estimated standard deviation of the seasonal amplitude.</w:t>
            </w:r>
          </w:p>
        </w:tc>
        <w:tc>
          <w:tcPr/>
          <w:p>
            <w:pPr>
              <w:pStyle w:val="Compact"/>
            </w:pPr>
            <w:r>
              <w:t xml:space="preserve">3.4</w:t>
            </w:r>
          </w:p>
        </w:tc>
        <w:tc>
          <w:tcPr/>
          <w:p>
            <w:pPr>
              <w:pStyle w:val="Compact"/>
            </w:pPr>
            <w:r>
              <w:t xml:space="preserve">1 DP</w:t>
            </w:r>
          </w:p>
        </w:tc>
      </w:tr>
      <w:tr>
        <w:tc>
          <w:tcPr/>
          <w:p>
            <w:pPr>
              <w:pStyle w:val="Compact"/>
            </w:pPr>
            <w:r>
              <w:t xml:space="preserve">Time-series</w:t>
            </w:r>
          </w:p>
        </w:tc>
        <w:tc>
          <w:tcPr/>
          <w:p>
            <w:pPr>
              <w:pStyle w:val="Compact"/>
            </w:pPr>
            <w:r>
              <w:t xml:space="preserve">mm</w:t>
            </w:r>
          </w:p>
        </w:tc>
        <w:tc>
          <w:tcPr/>
          <w:p>
            <w:pPr>
              <w:pStyle w:val="Compact"/>
            </w:pPr>
            <w:r>
              <w:t xml:space="preserve">Displacement values at each image acquisition. The header of each date will be in the format yyyymmdd without any prefix or suffix.</w:t>
            </w:r>
          </w:p>
        </w:tc>
        <w:tc>
          <w:tcPr/>
          <w:p>
            <w:pPr>
              <w:pStyle w:val="Compact"/>
            </w:pPr>
            <w:r>
              <w:t xml:space="preserve">3.6</w:t>
            </w:r>
          </w:p>
        </w:tc>
        <w:tc>
          <w:tcPr/>
          <w:p>
            <w:pPr>
              <w:pStyle w:val="Compact"/>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Product_Description_v3-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Short Description of Changes</w:t>
            </w:r>
          </w:p>
        </w:tc>
        <w:tc>
          <w:tcPr/>
          <w:p>
            <w:pPr>
              <w:pStyle w:val="Compact"/>
            </w:pPr>
          </w:p>
        </w:tc>
      </w:tr>
      <w:tr>
        <w:tc>
          <w:tcPr/>
          <w:p>
            <w:pPr>
              <w:pStyle w:val="Compact"/>
            </w:pPr>
            <w:r>
              <w:t xml:space="preserve">draft 1.0</w:t>
            </w:r>
          </w:p>
        </w:tc>
        <w:tc>
          <w:tcPr/>
          <w:p>
            <w:pPr>
              <w:pStyle w:val="Compact"/>
            </w:pPr>
            <w:r>
              <w:t xml:space="preserve">18/06/2021</w:t>
            </w:r>
          </w:p>
        </w:tc>
        <w:tc>
          <w:tcPr/>
          <w:p>
            <w:pPr>
              <w:pStyle w:val="Compact"/>
            </w:pPr>
            <w:r>
              <w:t xml:space="preserve">Initial version</w:t>
            </w:r>
          </w:p>
        </w:tc>
        <w:tc>
          <w:tcPr/>
          <w:p>
            <w:pPr>
              <w:pStyle w:val="Compact"/>
            </w:pPr>
          </w:p>
        </w:tc>
      </w:tr>
      <w:tr>
        <w:tc>
          <w:tcPr/>
          <w:p>
            <w:pPr>
              <w:pStyle w:val="Compact"/>
            </w:pPr>
            <w:r>
              <w:t xml:space="preserve">draft 1.1</w:t>
            </w:r>
          </w:p>
        </w:tc>
        <w:tc>
          <w:tcPr/>
          <w:p>
            <w:pPr>
              <w:pStyle w:val="Compact"/>
            </w:pPr>
            <w:r>
              <w:t xml:space="preserve">15/10/2021</w:t>
            </w:r>
          </w:p>
        </w:tc>
        <w:tc>
          <w:tcPr/>
          <w:p>
            <w:pPr>
              <w:pStyle w:val="Compact"/>
            </w:pPr>
            <w:r>
              <w:t xml:space="preserve">Updated according to review by EEA</w:t>
            </w:r>
          </w:p>
        </w:tc>
        <w:tc>
          <w:tcPr/>
          <w:p>
            <w:pPr>
              <w:pStyle w:val="Compact"/>
            </w:pPr>
          </w:p>
        </w:tc>
      </w:tr>
      <w:tr>
        <w:tc>
          <w:tcPr/>
          <w:p>
            <w:pPr>
              <w:pStyle w:val="Compact"/>
            </w:pPr>
            <w:r>
              <w:t xml:space="preserve">draft 1.2</w:t>
            </w:r>
          </w:p>
        </w:tc>
        <w:tc>
          <w:tcPr/>
          <w:p>
            <w:pPr>
              <w:pStyle w:val="Compact"/>
            </w:pPr>
            <w:r>
              <w:t xml:space="preserve">20/12/2021</w:t>
            </w:r>
          </w:p>
        </w:tc>
        <w:tc>
          <w:tcPr/>
          <w:p>
            <w:pPr>
              <w:pStyle w:val="Compact"/>
            </w:pPr>
            <w:r>
              <w:t xml:space="preserve">Updated according to review by EEA</w:t>
            </w:r>
          </w:p>
        </w:tc>
        <w:tc>
          <w:tcPr/>
          <w:p>
            <w:pPr>
              <w:pStyle w:val="Compact"/>
            </w:pPr>
          </w:p>
        </w:tc>
      </w:tr>
      <w:tr>
        <w:tc>
          <w:tcPr/>
          <w:p>
            <w:pPr>
              <w:pStyle w:val="Compact"/>
            </w:pPr>
            <w:r>
              <w:t xml:space="preserve">1.0</w:t>
            </w:r>
          </w:p>
        </w:tc>
        <w:tc>
          <w:tcPr/>
          <w:p>
            <w:pPr>
              <w:pStyle w:val="Compact"/>
            </w:pPr>
            <w:r>
              <w:t xml:space="preserve">24/02/2022</w:t>
            </w:r>
          </w:p>
        </w:tc>
        <w:tc>
          <w:tcPr/>
          <w:p>
            <w:pPr>
              <w:pStyle w:val="Compact"/>
            </w:pPr>
            <w:r>
              <w:t xml:space="preserve">Changes to EGMS Basic data format</w:t>
            </w:r>
          </w:p>
        </w:tc>
        <w:tc>
          <w:tcPr/>
          <w:p>
            <w:pPr>
              <w:pStyle w:val="Compact"/>
            </w:pPr>
          </w:p>
        </w:tc>
      </w:tr>
      <w:tr>
        <w:tc>
          <w:tcPr/>
          <w:p>
            <w:pPr>
              <w:pStyle w:val="Compact"/>
            </w:pPr>
            <w:r>
              <w:t xml:space="preserve">2.0</w:t>
            </w:r>
          </w:p>
        </w:tc>
        <w:tc>
          <w:tcPr/>
          <w:p>
            <w:pPr>
              <w:pStyle w:val="Compact"/>
            </w:pPr>
            <w:r>
              <w:t xml:space="preserve">25/10/2023</w:t>
            </w:r>
          </w:p>
        </w:tc>
        <w:tc>
          <w:tcPr/>
          <w:p>
            <w:pPr>
              <w:pStyle w:val="Compact"/>
            </w:pPr>
            <w:r>
              <w:t xml:space="preserve">Changes to EGMS Basic data naming convention</w:t>
            </w:r>
          </w:p>
        </w:tc>
        <w:tc>
          <w:tcPr/>
          <w:p>
            <w:pPr>
              <w:pStyle w:val="Compact"/>
            </w:pPr>
          </w:p>
        </w:tc>
      </w:tr>
      <w:tr>
        <w:tc>
          <w:tcPr/>
          <w:p>
            <w:pPr>
              <w:pStyle w:val="Compact"/>
            </w:pPr>
            <w:r>
              <w:t xml:space="preserve">3.0</w:t>
            </w:r>
          </w:p>
        </w:tc>
        <w:tc>
          <w:tcPr/>
          <w:p>
            <w:pPr>
              <w:pStyle w:val="Compact"/>
            </w:pPr>
            <w:r>
              <w:t xml:space="preserve">06/08/2025</w:t>
            </w:r>
          </w:p>
        </w:tc>
        <w:tc>
          <w:tcPr/>
          <w:p>
            <w:pPr>
              <w:pStyle w:val="Compact"/>
            </w:pPr>
            <w:r>
              <w:t xml:space="preserve">Additional details in the track angle on Table 5</w:t>
            </w:r>
          </w:p>
        </w:tc>
        <w:tc>
          <w:tcPr/>
          <w:p>
            <w:pPr>
              <w:pStyle w:val="Compact"/>
            </w:pPr>
          </w:p>
        </w:tc>
      </w:tr>
    </w:tbl>
    <w:bookmarkEnd w:id="6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offered under the Copernicus Land Monitoring Service. It details the specifications, formats, attribute tables, and metadata associated with the EGMS Basic, Calibrated, and Ortho products, enabling users to effectively utilise these datasets for visualisation and analysis of ground motion. Furthermore, it outlines the ancillary datasets used in EGMS production, ensuring a clear understanding of the service’s technical aspects and data processing methodologies.</dc:description>
  <cp:keywords>InSAR displacement data, Satellite line-of-sight, GNSS time-series data, Earth centred reference frame, Vertical and east-west displacements, 100 m grid resampling, ETRS89-LAEA projection, Temporal coherence, Amplitude dispersion index, Sentinel-1 burst segmentation</cp:keywords>
  <dcterms:created xsi:type="dcterms:W3CDTF">2025-12-01T18:06:50Z</dcterms:created>
  <dcterms:modified xsi:type="dcterms:W3CDTF">2025-12-01T18:06:50Z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2025-07-08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European_Ground_Motion_Service/Product_Description_v3.qmd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3</vt:lpwstr>
  </property>
</Properties>
</file>