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presents the IT Architecture Principles and Implementation Guidelines for the Copernicus Land Monitoring Service (CLMS). It defines the framework for scalable, secure, and consistent IT solutions. Covering architectural themes such as reproducibility, reusability, transparency, maintainability, security, and resilience, the document supports the CLMS program’s vision. It promotes interoperability, cloud-agnostic solutions, and adherence to industry standards, while ensuring solutions are adaptable, transparent, and efficiently maintained.</dc:description>
  <cp:keywords>IT architecture principles, Implementation guidelines, Copernicus Land Monitoring Service, Modularity, Reproducibility, Reusability, Transparency, Maintainability, IT security, Resilience</cp:keywords>
  <dcterms:created xsi:type="dcterms:W3CDTF">2026-02-10T13:04:04Z</dcterms:created>
  <dcterms:modified xsi:type="dcterms:W3CDTF">2026-02-10T13:04:04Z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