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Small Landscape Features 2021 – Product User Manual</w:t>
      </w:r>
    </w:p>
    <w:p>
      <w:pPr>
        <w:pStyle w:val="Subtitle"/>
      </w:pPr>
      <w:r>
        <w:t xml:space="preserve">Copernicus Land Monitoring Service</w:t>
      </w:r>
    </w:p>
    <w:p>
      <w:pPr>
        <w:pStyle w:val="Date"/>
      </w:pPr>
      <w:r>
        <w:t xml:space="preserve">2026-04-09</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sec-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r>
        <w:t xml:space="preserve"> </w:t>
      </w: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sec-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(previously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ec-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sec-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previously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 (unless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sec-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6867d8426ee53bf8a5aa1446d305fcb80e6b2cb"/>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w:t>
      </w:r>
      <w:r>
        <w:t xml:space="preserve"> </w:t>
      </w:r>
      <w:r>
        <w:rPr>
          <w:i/>
          <w:iCs/>
        </w:rPr>
        <w:t xml:space="preserve">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w:t>
      </w:r>
    </w:p>
    <w:p>
      <w:pPr>
        <w:pStyle w:val="BodyText"/>
      </w:pPr>
      <w:r>
        <w:t xml:space="preserve">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5943600" cy="5845196"/>
                  <wp:effectExtent b="0" l="0" r="0" t="0"/>
                  <wp:docPr descr="" title="" id="39" name="Picture"/>
                  <a:graphic>
                    <a:graphicData uri="http://schemas.openxmlformats.org/drawingml/2006/picture">
                      <pic:pic>
                        <pic:nvPicPr>
                          <pic:cNvPr descr="High_Resolution_Layer_Small_Landscape_Features_2021_PUM_v1-media/img-3a19d0780acfafe464786f6a2f981693595afb0d.png" id="40" name="Picture"/>
                          <pic:cNvPicPr>
                            <a:picLocks noChangeArrowheads="1" noChangeAspect="1"/>
                          </pic:cNvPicPr>
                        </pic:nvPicPr>
                        <pic:blipFill>
                          <a:blip r:embed="rId38"/>
                          <a:stretch>
                            <a:fillRect/>
                          </a:stretch>
                        </pic:blipFill>
                        <pic:spPr bwMode="auto">
                          <a:xfrm>
                            <a:off x="0" y="0"/>
                            <a:ext cx="5943600" cy="58451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 (Kleeschulte, 2020)</w:t>
            </w:r>
          </w:p>
          <w:bookmarkEnd w:id="41"/>
        </w:tc>
      </w:tr>
    </w:tbl>
    <w:bookmarkEnd w:id="42"/>
    <w:bookmarkEnd w:id="43"/>
    <w:bookmarkStart w:id="72" w:name="sec-product-description"/>
    <w:p>
      <w:pPr>
        <w:pStyle w:val="Heading1"/>
      </w:pPr>
      <w:r>
        <w:t xml:space="preserve">7. Product description</w:t>
      </w:r>
    </w:p>
    <w:bookmarkStart w:id="47"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p>
      <w:pPr>
        <w:pStyle w:val="CaptionedFigure"/>
      </w:pPr>
      <w:r>
        <w:drawing>
          <wp:inline>
            <wp:extent cx="5943600" cy="3153645"/>
            <wp:effectExtent b="0" l="0" r="0" t="0"/>
            <wp:docPr descr="Figure 2: HRL SLF 2021 product suite" title="" id="45" name="Picture"/>
            <a:graphic>
              <a:graphicData uri="http://schemas.openxmlformats.org/drawingml/2006/picture">
                <pic:pic>
                  <pic:nvPicPr>
                    <pic:cNvPr descr="High_Resolution_Layer_Small_Landscape_Features_2021_PUM_v1-media/img-5d37127d1ef51bc6f9ef04c1e338203de056620f.png" id="46" name="Picture"/>
                    <pic:cNvPicPr>
                      <a:picLocks noChangeArrowheads="1" noChangeAspect="1"/>
                    </pic:cNvPicPr>
                  </pic:nvPicPr>
                  <pic:blipFill>
                    <a:blip r:embed="rId44"/>
                    <a:stretch>
                      <a:fillRect/>
                    </a:stretch>
                  </pic:blipFill>
                  <pic:spPr bwMode="auto">
                    <a:xfrm>
                      <a:off x="0" y="0"/>
                      <a:ext cx="5943600" cy="3153645"/>
                    </a:xfrm>
                    <a:prstGeom prst="rect">
                      <a:avLst/>
                    </a:prstGeom>
                    <a:noFill/>
                    <a:ln w="9525">
                      <a:noFill/>
                      <a:headEnd/>
                      <a:tailEnd/>
                    </a:ln>
                  </pic:spPr>
                </pic:pic>
              </a:graphicData>
            </a:graphic>
          </wp:inline>
        </w:drawing>
      </w:r>
    </w:p>
    <w:p>
      <w:pPr>
        <w:pStyle w:val="ImageCaption"/>
      </w:pPr>
      <w:r>
        <w:t xml:space="preserve">Figure 2: HRL SLF 2021 product suite</w:t>
      </w:r>
    </w:p>
    <w:p>
      <w:pPr>
        <w:pStyle w:val="BodyText"/>
      </w:pPr>
      <w:r>
        <w:t xml:space="preserve">All layers are distributed in tiles corresponding to 100km LAEA grid cells.</w:t>
      </w:r>
    </w:p>
    <w:bookmarkEnd w:id="47"/>
    <w:bookmarkStart w:id="62" w:name="product-characteristics"/>
    <w:p>
      <w:pPr>
        <w:pStyle w:val="Heading2"/>
      </w:pPr>
      <w:r>
        <w:t xml:space="preserve">7.2 Product characteristics</w:t>
      </w:r>
    </w:p>
    <w:bookmarkStart w:id="48"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8"/>
    <w:bookmarkStart w:id="51"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49"/>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1"/>
    <w:bookmarkStart w:id="52"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and with a minimum width (MMW) of 10m over Artificial surfaces (nomenclature class 1) inside each FUA covered by Urban Atlas 2021, without including trees along road or railway networks connecting cities and villages.</w:t>
      </w:r>
    </w:p>
    <w:p>
      <w:pPr>
        <w:pStyle w:val="BodyText"/>
      </w:pPr>
      <w:r>
        <w:t xml:space="preserve">This layer is provided as a vector layer.</w:t>
      </w:r>
    </w:p>
    <w:bookmarkEnd w:id="52"/>
    <w:bookmarkStart w:id="53"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3"/>
    <w:bookmarkStart w:id="58" w:name="auxiliary-layers"/>
    <w:p>
      <w:pPr>
        <w:pStyle w:val="Heading3"/>
      </w:pPr>
      <w:r>
        <w:t xml:space="preserve">7.2.5 Auxiliary Layers</w:t>
      </w:r>
    </w:p>
    <w:bookmarkStart w:id="54" w:name="parent-scene-identification-layer-psil"/>
    <w:p>
      <w:pPr>
        <w:pStyle w:val="Heading4"/>
      </w:pPr>
      <w:r>
        <w:t xml:space="preserve">7.2.5.1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4"/>
    <w:bookmarkStart w:id="55" w:name="wvl-confidence-layer"/>
    <w:p>
      <w:pPr>
        <w:pStyle w:val="Heading4"/>
      </w:pPr>
      <w:r>
        <w:t xml:space="preserve">7.2.5.2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5"/>
    <w:bookmarkStart w:id="56" w:name="forest-mask"/>
    <w:p>
      <w:pPr>
        <w:pStyle w:val="Heading4"/>
      </w:pPr>
      <w:r>
        <w:t xml:space="preserve">7.2.5.3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6"/>
    <w:bookmarkStart w:id="57" w:name="crop-mask"/>
    <w:p>
      <w:pPr>
        <w:pStyle w:val="Heading4"/>
      </w:pPr>
      <w:r>
        <w:t xml:space="preserve">7.2.5.4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7"/>
    <w:bookmarkEnd w:id="58"/>
    <w:bookmarkStart w:id="61" w:name="reference-data"/>
    <w:p>
      <w:pPr>
        <w:pStyle w:val="Heading3"/>
      </w:pPr>
      <w:r>
        <w:t xml:space="preserve">7.2.6 Reference Data</w:t>
      </w:r>
    </w:p>
    <w:bookmarkStart w:id="59"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59"/>
    <w:bookmarkStart w:id="60"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0"/>
    <w:bookmarkEnd w:id="61"/>
    <w:bookmarkEnd w:id="62"/>
    <w:bookmarkStart w:id="66" w:name="product-specifications"/>
    <w:p>
      <w:pPr>
        <w:pStyle w:val="Heading2"/>
      </w:pPr>
      <w:r>
        <w:t xml:space="preserve">7.3 Product specifications</w:t>
      </w:r>
    </w:p>
    <w:bookmarkStart w:id="63" w:name="primary-layers"/>
    <w:p>
      <w:pPr>
        <w:pStyle w:val="Heading3"/>
      </w:pPr>
      <w:r>
        <w:t xml:space="preserve">7.3.1 Primary Layers</w:t>
      </w:r>
    </w:p>
    <w:p>
      <w:pPr>
        <w:pStyle w:val="FirstParagraph"/>
      </w:pPr>
      <w:r>
        <w:rPr>
          <w:b/>
          <w:bCs/>
        </w:rPr>
        <w:t xml:space="preserve">Small Woody Features 2021 vector</w:t>
      </w:r>
    </w:p>
    <w:p>
      <w:pPr>
        <w:pStyle w:val="BodyText"/>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rPr>
                <w:i/>
                <w:iCs/>
              </w:rP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rPr>
                <w:i/>
                <w:iCs/>
              </w:rP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rPr>
                <w:i/>
                <w:iCs/>
              </w:rP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rPr>
                <w:i/>
                <w:iCs/>
              </w:rP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Street Tree Layer 2021 vector</w:t>
      </w:r>
    </w:p>
    <w:p>
      <w:pPr>
        <w:pStyle w:val="BodyText"/>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Minimum Mapping Width: 10m</w:t>
      </w:r>
    </w:p>
    <w:p>
      <w:pPr>
        <w:pStyle w:val="BodyText"/>
      </w:pPr>
      <w:r>
        <w:t xml:space="preserve">Vector classes:</w:t>
      </w:r>
      <w:r>
        <w:t xml:space="preserve"> </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Street Trees</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Woody vegetation layer 5m raster</w:t>
      </w:r>
    </w:p>
    <w:p>
      <w:pPr>
        <w:pStyle w:val="BodyText"/>
      </w:pPr>
      <w:r>
        <w:t xml:space="preserve">Layer name: Woody Vegetation Layer 2021 5m</w:t>
      </w:r>
    </w:p>
    <w:p>
      <w:pPr>
        <w:pStyle w:val="BodyText"/>
      </w:pPr>
      <w:r>
        <w:t xml:space="preserve">Acronym: WVL</w:t>
      </w:r>
    </w:p>
    <w:p>
      <w:pPr>
        <w:pStyle w:val="BodyText"/>
      </w:pPr>
      <w:r>
        <w:t xml:space="preserve">Product (group/family): High Resolution Layer</w:t>
      </w:r>
    </w:p>
    <w:p>
      <w:pPr>
        <w:pStyle w:val="BodyText"/>
      </w:pPr>
      <w:r>
        <w:t xml:space="preserve">Dataset category: Status</w:t>
      </w:r>
    </w:p>
    <w:p>
      <w:pPr>
        <w:pStyle w:val="BodyText"/>
      </w:pPr>
      <w:r>
        <w:t xml:space="preserve">Summary: Woody vegetation for reference year 2021,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non-tree covered areas</w:t>
      </w:r>
      <w:r>
        <w:t xml:space="preserve"> </w:t>
      </w:r>
      <w:r>
        <w:t xml:space="preserve"> </w:t>
      </w:r>
      <w:r>
        <w:rPr>
          <w:i/>
          <w:iCs/>
        </w:rPr>
        <w:t xml:space="preserve">1: Tree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5m raster</w:t>
      </w:r>
    </w:p>
    <w:p>
      <w:pPr>
        <w:pStyle w:val="BodyText"/>
      </w:pPr>
      <w:r>
        <w:t xml:space="preserve">Layer name: Small Woody Feature 2021 5m raster</w:t>
      </w:r>
    </w:p>
    <w:p>
      <w:pPr>
        <w:pStyle w:val="BodyText"/>
      </w:pPr>
      <w:r>
        <w:t xml:space="preserve">Acronym: SWF 5m</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raster format, using specifications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80%</w:t>
      </w:r>
    </w:p>
    <w:p>
      <w:pPr>
        <w:pStyle w:val="BodyText"/>
      </w:pPr>
      <w:r>
        <w:t xml:space="preserve">Minimum Mapping Unit (MMU): No MMU for the linear elements. MMU for Patchy structures of trees and scrub: 200m2 (size limit of 5000m2)</w:t>
      </w:r>
    </w:p>
    <w:p>
      <w:pPr>
        <w:pStyle w:val="BodyText"/>
      </w:pPr>
      <w:r>
        <w:t xml:space="preserve">Raster coding:</w:t>
      </w:r>
      <w:r>
        <w:t xml:space="preserve"> </w:t>
      </w:r>
      <w:r>
        <w:t xml:space="preserve"> </w:t>
      </w:r>
      <w:r>
        <w:rPr>
          <w:i/>
          <w:iCs/>
        </w:rPr>
        <w:t xml:space="preserve">0: All non SWF covered areas</w:t>
      </w:r>
      <w:r>
        <w:t xml:space="preserve"> </w:t>
      </w:r>
      <w:r>
        <w:t xml:space="preserve"> </w:t>
      </w:r>
      <w:r>
        <w:rPr>
          <w:i/>
          <w:iCs/>
        </w:rPr>
        <w:t xml:space="preserve">1: SWF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3"/>
    <w:bookmarkStart w:id="64" w:name="aggregated-layers"/>
    <w:p>
      <w:pPr>
        <w:pStyle w:val="Heading3"/>
      </w:pPr>
      <w:r>
        <w:t xml:space="preserve">7.3.2 Aggregated Layers</w:t>
      </w:r>
    </w:p>
    <w:p>
      <w:pPr>
        <w:pStyle w:val="FirstParagraph"/>
      </w:pPr>
      <w:r>
        <w:rPr>
          <w:b/>
          <w:bCs/>
        </w:rPr>
        <w:t xml:space="preserve">Small woody features 100m raster</w:t>
      </w:r>
    </w:p>
    <w:p>
      <w:pPr>
        <w:pStyle w:val="BodyText"/>
      </w:pPr>
      <w:r>
        <w:t xml:space="preserve">Layer name: Small Woody Feature 2021 100m raster</w:t>
      </w:r>
    </w:p>
    <w:p>
      <w:pPr>
        <w:pStyle w:val="BodyText"/>
      </w:pPr>
      <w:r>
        <w:t xml:space="preserve">Acronym: SWF 100m</w:t>
      </w:r>
    </w:p>
    <w:p>
      <w:pPr>
        <w:pStyle w:val="BodyText"/>
      </w:pPr>
      <w:r>
        <w:t xml:space="preserve">Product (group/family): High Resolution Layer</w:t>
      </w:r>
    </w:p>
    <w:p>
      <w:pPr>
        <w:pStyle w:val="BodyText"/>
      </w:pPr>
      <w:r>
        <w:t xml:space="preserve">Dataset category: Status</w:t>
      </w:r>
    </w:p>
    <w:p>
      <w:pPr>
        <w:pStyle w:val="BodyText"/>
      </w:pPr>
      <w:r>
        <w:t xml:space="preserve">Summary: Density of Small Woody Features outside forested areas, provided in rasterformat, using specifications described in section 7.2</w:t>
      </w:r>
    </w:p>
    <w:p>
      <w:pPr>
        <w:pStyle w:val="BodyText"/>
      </w:pPr>
      <w:r>
        <w:t xml:space="preserve">Reference year/cycle/period: 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non-SWF covered areas</w:t>
      </w:r>
      <w:r>
        <w:t xml:space="preserve"> </w:t>
      </w:r>
      <w:r>
        <w:t xml:space="preserve"> </w:t>
      </w:r>
      <w:r>
        <w:rPr>
          <w:i/>
          <w:iCs/>
        </w:rPr>
        <w:t xml:space="preserve">1-100: SWF density %</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changes raster</w:t>
      </w:r>
    </w:p>
    <w:p>
      <w:pPr>
        <w:pStyle w:val="BodyText"/>
      </w:pPr>
      <w:r>
        <w:t xml:space="preserve">Layer name: Small Woody Feature Change 2018-2021 100m raster</w:t>
      </w:r>
    </w:p>
    <w:p>
      <w:pPr>
        <w:pStyle w:val="BodyText"/>
      </w:pPr>
      <w:r>
        <w:t xml:space="preserve">Acronym: SWFC</w:t>
      </w:r>
    </w:p>
    <w:p>
      <w:pPr>
        <w:pStyle w:val="BodyText"/>
      </w:pPr>
      <w:r>
        <w:t xml:space="preserve">Product (group/family): High Resolution Layer</w:t>
      </w:r>
    </w:p>
    <w:p>
      <w:pPr>
        <w:pStyle w:val="BodyText"/>
      </w:pPr>
      <w:r>
        <w:t xml:space="preserve">Dataset category: Change</w:t>
      </w:r>
    </w:p>
    <w:p>
      <w:pPr>
        <w:pStyle w:val="BodyText"/>
      </w:pPr>
      <w:r>
        <w:t xml:space="preserve">Summary: Increase / Decrease of Small Woody Features outside forested areas, provided in raster format, using specifications described in section 7.2</w:t>
      </w:r>
    </w:p>
    <w:p>
      <w:pPr>
        <w:pStyle w:val="BodyText"/>
      </w:pPr>
      <w:r>
        <w:t xml:space="preserve">Reference year/cycle/period: 2018-2021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stable areas</w:t>
      </w:r>
      <w:r>
        <w:t xml:space="preserve"> </w:t>
      </w:r>
      <w:r>
        <w:t xml:space="preserve"> </w:t>
      </w:r>
      <w:r>
        <w:rPr>
          <w:i/>
          <w:iCs/>
        </w:rPr>
        <w:t xml:space="preserve">1: Increase in SWF density</w:t>
      </w:r>
      <w:r>
        <w:t xml:space="preserve"> </w:t>
      </w:r>
      <w:r>
        <w:t xml:space="preserve"> </w:t>
      </w:r>
      <w:r>
        <w:rPr>
          <w:i/>
          <w:iCs/>
        </w:rPr>
        <w:t xml:space="preserve">2: Decrease in SWF density</w:t>
      </w:r>
      <w:r>
        <w:t xml:space="preserve"> </w:t>
      </w:r>
      <w:r>
        <w:t xml:space="preserve"> </w:t>
      </w:r>
      <w:r>
        <w:rPr>
          <w:i/>
          <w:iCs/>
        </w:rPr>
        <w:t xml:space="preserve">201: Area covered by Forest Mask in 2018</w:t>
      </w:r>
      <w:r>
        <w:t xml:space="preserve"> </w:t>
      </w:r>
      <w:r>
        <w:t xml:space="preserve"> </w:t>
      </w:r>
      <w:r>
        <w:rPr>
          <w:i/>
          <w:iCs/>
        </w:rPr>
        <w:t xml:space="preserve">202: Area covered by Forest Mask in 2021</w:t>
      </w:r>
      <w:r>
        <w:t xml:space="preserve"> </w:t>
      </w:r>
      <w:r>
        <w:t xml:space="preserve"> </w:t>
      </w:r>
      <w:r>
        <w:rPr>
          <w:i/>
          <w:iCs/>
        </w:rPr>
        <w:t xml:space="preserve">203: Area covered by Forest Mask in 2018 &amp; 2021</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4"/>
    <w:bookmarkStart w:id="65" w:name="auxiliary-layers-1"/>
    <w:p>
      <w:pPr>
        <w:pStyle w:val="Heading3"/>
      </w:pPr>
      <w:r>
        <w:t xml:space="preserve">7.3.3 Auxiliary Layers</w:t>
      </w:r>
    </w:p>
    <w:p>
      <w:pPr>
        <w:pStyle w:val="FirstParagraph"/>
      </w:pPr>
      <w:r>
        <w:rPr>
          <w:b/>
          <w:bCs/>
        </w:rPr>
        <w:t xml:space="preserve">Parent Scene Identification layer</w:t>
      </w:r>
    </w:p>
    <w:p>
      <w:pPr>
        <w:pStyle w:val="BodyText"/>
      </w:pPr>
      <w:r>
        <w:t xml:space="preserve">Layer name: Parent Scene Identification Layer</w:t>
      </w:r>
    </w:p>
    <w:p>
      <w:pPr>
        <w:pStyle w:val="BodyText"/>
      </w:pPr>
      <w:r>
        <w:t xml:space="preserve">Acronym: PSIL</w:t>
      </w:r>
    </w:p>
    <w:p>
      <w:pPr>
        <w:pStyle w:val="BodyText"/>
      </w:pPr>
      <w:r>
        <w:t xml:space="preserve">Product (group/family): High Resolution Layer</w:t>
      </w:r>
    </w:p>
    <w:p>
      <w:pPr>
        <w:pStyle w:val="BodyText"/>
      </w:pPr>
      <w:r>
        <w:t xml:space="preserve">Dataset category: Status</w:t>
      </w:r>
    </w:p>
    <w:p>
      <w:pPr>
        <w:pStyle w:val="BodyText"/>
      </w:pPr>
      <w:r>
        <w:t xml:space="preserve">Summary: Earth Observation image used for SLF 2021 production</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 Cf Annex I</w:t>
      </w:r>
    </w:p>
    <w:p>
      <w:pPr>
        <w:pStyle w:val="BodyText"/>
      </w:pPr>
      <w:r>
        <w:t xml:space="preserve">Attributes: Cf Annex I</w:t>
      </w:r>
    </w:p>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Woody Vegetation confidence layer</w:t>
      </w:r>
    </w:p>
    <w:p>
      <w:pPr>
        <w:pStyle w:val="BodyText"/>
      </w:pPr>
      <w:r>
        <w:t xml:space="preserve">Layer name: Woody Vegetation Confidence Layer 2021 5m</w:t>
      </w:r>
    </w:p>
    <w:p>
      <w:pPr>
        <w:pStyle w:val="BodyText"/>
      </w:pPr>
      <w:r>
        <w:t xml:space="preserve">Acronym: WVCL</w:t>
      </w:r>
    </w:p>
    <w:p>
      <w:pPr>
        <w:pStyle w:val="BodyText"/>
      </w:pPr>
      <w:r>
        <w:t xml:space="preserve">Product (group/family): High Resolution Layer</w:t>
      </w:r>
    </w:p>
    <w:p>
      <w:pPr>
        <w:pStyle w:val="BodyText"/>
      </w:pPr>
      <w:r>
        <w:t xml:space="preserve">Dataset category: Status</w:t>
      </w:r>
    </w:p>
    <w:p>
      <w:pPr>
        <w:pStyle w:val="BodyText"/>
      </w:pPr>
      <w:r>
        <w:t xml:space="preserve">Summary: Supplemental information about the product’s quality and reliance of mapped woody features (cf.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0-100: Confidence in WVL classification</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Forest Mask</w:t>
      </w:r>
    </w:p>
    <w:p>
      <w:pPr>
        <w:pStyle w:val="BodyText"/>
      </w:pPr>
      <w:r>
        <w:t xml:space="preserve">Layer name: Forest Mask 2021</w:t>
      </w:r>
    </w:p>
    <w:p>
      <w:pPr>
        <w:pStyle w:val="BodyText"/>
      </w:pPr>
      <w:r>
        <w:t xml:space="preserve">Acronym: FM</w:t>
      </w:r>
    </w:p>
    <w:p>
      <w:pPr>
        <w:pStyle w:val="BodyText"/>
      </w:pPr>
      <w:r>
        <w:t xml:space="preserve">Product (group/family): High Resolution Layer</w:t>
      </w:r>
    </w:p>
    <w:p>
      <w:pPr>
        <w:pStyle w:val="BodyText"/>
      </w:pPr>
      <w:r>
        <w:t xml:space="preserve">Dataset category: Status</w:t>
      </w:r>
    </w:p>
    <w:p>
      <w:pPr>
        <w:pStyle w:val="BodyText"/>
      </w:pPr>
      <w:r>
        <w:t xml:space="preserve">Summary: Forest mask 2021 for exclusion of forested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Sentinel-2 satellite imagery provided by ESA</w:t>
      </w:r>
    </w:p>
    <w:p>
      <w:pPr>
        <w:pStyle w:val="BodyText"/>
      </w:pPr>
      <w:r>
        <w:t xml:space="preserve">Thematic accuracy: NA</w:t>
      </w:r>
    </w:p>
    <w:p>
      <w:pPr>
        <w:pStyle w:val="BodyText"/>
      </w:pPr>
      <w:r>
        <w:t xml:space="preserve">Minimum Mapping Unit (MMU): 5 ha</w:t>
      </w:r>
    </w:p>
    <w:p>
      <w:pPr>
        <w:pStyle w:val="BodyText"/>
      </w:pPr>
      <w:r>
        <w:t xml:space="preserve">Raster coding:</w:t>
      </w:r>
      <w:r>
        <w:t xml:space="preserve"> </w:t>
      </w:r>
      <w:r>
        <w:t xml:space="preserve"> </w:t>
      </w:r>
      <w:r>
        <w:rPr>
          <w:i/>
          <w:iCs/>
        </w:rPr>
        <w:t xml:space="preserve">0: All non-forested covered areas</w:t>
      </w:r>
      <w:r>
        <w:t xml:space="preserve"> </w:t>
      </w:r>
      <w:r>
        <w:t xml:space="preserve"> </w:t>
      </w:r>
      <w:r>
        <w:rPr>
          <w:i/>
          <w:iCs/>
        </w:rPr>
        <w:t xml:space="preserve">1: Forest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Crop Mask</w:t>
      </w:r>
    </w:p>
    <w:p>
      <w:pPr>
        <w:pStyle w:val="BodyText"/>
      </w:pPr>
      <w:r>
        <w:t xml:space="preserve">Layer name: Crop Mask 2021</w:t>
      </w:r>
    </w:p>
    <w:p>
      <w:pPr>
        <w:pStyle w:val="BodyText"/>
      </w:pPr>
      <w:r>
        <w:t xml:space="preserve">Acronym: CM</w:t>
      </w:r>
    </w:p>
    <w:p>
      <w:pPr>
        <w:pStyle w:val="BodyText"/>
      </w:pPr>
      <w:r>
        <w:t xml:space="preserve">Product (group/family): High Resolution Layer</w:t>
      </w:r>
    </w:p>
    <w:p>
      <w:pPr>
        <w:pStyle w:val="BodyText"/>
      </w:pPr>
      <w:r>
        <w:t xml:space="preserve">Dataset category: Status</w:t>
      </w:r>
    </w:p>
    <w:p>
      <w:pPr>
        <w:pStyle w:val="BodyText"/>
      </w:pPr>
      <w:r>
        <w:t xml:space="preserve">Summary: Crop mask 2021 for identification of crop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non-crop covered areas</w:t>
      </w:r>
      <w:r>
        <w:t xml:space="preserve"> </w:t>
      </w:r>
      <w:r>
        <w:t xml:space="preserve"> </w:t>
      </w:r>
      <w:r>
        <w:rPr>
          <w:i/>
          <w:iCs/>
        </w:rPr>
        <w:t xml:space="preserve">1: Crop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5"/>
    <w:bookmarkEnd w:id="66"/>
    <w:bookmarkStart w:id="67" w:name="reference-data-1"/>
    <w:p>
      <w:pPr>
        <w:pStyle w:val="Heading2"/>
      </w:pPr>
      <w:r>
        <w:t xml:space="preserve">7.4 Reference Data</w:t>
      </w:r>
    </w:p>
    <w:p>
      <w:pPr>
        <w:pStyle w:val="FirstParagraph"/>
      </w:pPr>
      <w:r>
        <w:rPr>
          <w:b/>
          <w:bCs/>
        </w:rPr>
        <w:t xml:space="preserve">Training dataset (vector)</w:t>
      </w:r>
    </w:p>
    <w:p>
      <w:pPr>
        <w:pStyle w:val="BodyText"/>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Validation dataset (vector)</w:t>
      </w:r>
    </w:p>
    <w:p>
      <w:pPr>
        <w:pStyle w:val="BodyText"/>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67"/>
    <w:bookmarkStart w:id="71" w:name="known-thematic-overlaps-of-the-product"/>
    <w:p>
      <w:pPr>
        <w:pStyle w:val="Heading2"/>
      </w:pPr>
      <w:r>
        <w:t xml:space="preserve">7.5 Known thematic overlaps of the product</w:t>
      </w:r>
    </w:p>
    <w:p>
      <w:pPr>
        <w:pStyle w:val="FirstParagraph"/>
      </w:pPr>
      <w:r>
        <w:t xml:space="preserve">HRL SLF products present few thematic overlaps with other CLMS products.</w:t>
      </w:r>
    </w:p>
    <w:bookmarkStart w:id="68" w:name="woody-vegetation-layer-1"/>
    <w:p>
      <w:pPr>
        <w:pStyle w:val="Heading3"/>
      </w:pPr>
      <w:r>
        <w:t xml:space="preserve">7.5.1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68"/>
    <w:bookmarkStart w:id="69" w:name="small-woody-features-layers"/>
    <w:p>
      <w:pPr>
        <w:pStyle w:val="Heading3"/>
      </w:pPr>
      <w:r>
        <w:t xml:space="preserve">7.5.2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69"/>
    <w:bookmarkStart w:id="70" w:name="street-tree-layer-1"/>
    <w:p>
      <w:pPr>
        <w:pStyle w:val="Heading3"/>
      </w:pPr>
      <w:r>
        <w:t xml:space="preserve">7.5.3 Street Tree Layer</w:t>
      </w:r>
    </w:p>
    <w:p>
      <w:pPr>
        <w:pStyle w:val="FirstParagraph"/>
      </w:pPr>
      <w:r>
        <w:t xml:space="preserve">Focused on urban areas mapped by CLMS Urban Atlas, STL overlaps UA LULC product and provide additional information about presence of trees within cities.</w:t>
      </w:r>
    </w:p>
    <w:bookmarkEnd w:id="70"/>
    <w:bookmarkEnd w:id="71"/>
    <w:bookmarkEnd w:id="72"/>
    <w:bookmarkStart w:id="77" w:name="X75d57e508767a9e5fe79b46de93d8149a227be3"/>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73"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73"/>
    <w:bookmarkStart w:id="74"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74"/>
    <w:bookmarkStart w:id="75"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75"/>
    <w:bookmarkStart w:id="76" w:name="change-layer-production"/>
    <w:p>
      <w:pPr>
        <w:pStyle w:val="Heading2"/>
      </w:pPr>
      <w:r>
        <w:t xml:space="preserve">8.4 Change Layer production</w:t>
      </w:r>
    </w:p>
    <w:p>
      <w:pPr>
        <w:pStyle w:val="FirstParagraph"/>
      </w:pPr>
      <w:r>
        <w:t xml:space="preserve">In progress.</w:t>
      </w:r>
    </w:p>
    <w:bookmarkEnd w:id="76"/>
    <w:bookmarkEnd w:id="77"/>
    <w:bookmarkStart w:id="85" w:name="Xe7198ec3a74b0da4ff70a1f7d5e944c9947a25f"/>
    <w:p>
      <w:pPr>
        <w:pStyle w:val="Heading1"/>
      </w:pPr>
      <w:r>
        <w:t xml:space="preserve">9. Terms of use and product technical support</w:t>
      </w:r>
    </w:p>
    <w:bookmarkStart w:id="78" w:name="terms-of-use"/>
    <w:p>
      <w:pPr>
        <w:pStyle w:val="Heading2"/>
      </w:pPr>
      <w:r>
        <w:t xml:space="preserve">9.1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78"/>
    <w:bookmarkStart w:id="81" w:name="citation"/>
    <w:p>
      <w:pPr>
        <w:pStyle w:val="Heading2"/>
      </w:pPr>
      <w:r>
        <w:t xml:space="preserve">9.2 Citation</w:t>
      </w:r>
    </w:p>
    <w:p>
      <w:pPr>
        <w:pStyle w:val="FirstParagraph"/>
      </w:pPr>
      <w:r>
        <w:t xml:space="preserve">When</w:t>
      </w:r>
      <w:r>
        <w:t xml:space="preserve"> </w:t>
      </w:r>
      <w:r>
        <w:rPr>
          <w:b/>
          <w:bCs/>
        </w:rPr>
        <w:t xml:space="preserve">planning to publish a publication (scientific, commercial, etc.)</w:t>
      </w:r>
      <w:r>
        <w:t xml:space="preserve">,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w:t>
      </w:r>
      <w:r>
        <w:t xml:space="preserve"> </w:t>
      </w:r>
      <w:r>
        <w:rPr>
          <w:b/>
          <w:bCs/>
        </w:rPr>
        <w:t xml:space="preserve">product or service using the products or services of the Copernicus Land Monitoring Service</w:t>
      </w:r>
      <w:r>
        <w:t xml:space="preserv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79"/>
      </w:r>
    </w:p>
    <w:p>
      <w:pPr>
        <w:pStyle w:val="BodyText"/>
      </w:pPr>
      <w:r>
        <w:t xml:space="preserve">When</w:t>
      </w:r>
      <w:r>
        <w:t xml:space="preserve"> </w:t>
      </w:r>
      <w:r>
        <w:rPr>
          <w:b/>
          <w:bCs/>
        </w:rPr>
        <w:t xml:space="preserve">redistributing a part of the Copernicus Land Monitoring Service (product, dataset, documentation, picture, web service, etc.)</w:t>
      </w:r>
      <w:r>
        <w:t xml:space="preserve">, it should explicitly mentioned:</w:t>
      </w:r>
    </w:p>
    <w:p>
      <w:pPr>
        <w:pStyle w:val="BodyText"/>
      </w:pPr>
      <w:r>
        <w:t xml:space="preserve">“European Union’s Copernicus Land Monitoring Service information; &lt;insert all relevant DOI links here, if applicable&gt;”</w:t>
      </w:r>
    </w:p>
    <w:bookmarkEnd w:id="81"/>
    <w:bookmarkStart w:id="84" w:name="product-technical-support"/>
    <w:p>
      <w:pPr>
        <w:pStyle w:val="Heading2"/>
      </w:pPr>
      <w:r>
        <w:t xml:space="preserve">9.3 Product Technical support</w:t>
      </w:r>
    </w:p>
    <w:p>
      <w:pPr>
        <w:pStyle w:val="FirstParagraph"/>
      </w:pPr>
      <w:r>
        <w:t xml:space="preserve">Product technical support is provided by the product custodian through Copernicus Land Monitoring Service desk</w:t>
      </w:r>
      <w:r>
        <w:rPr>
          <w:rStyle w:val="FootnoteReference"/>
        </w:rPr>
        <w:footnoteReference w:id="82"/>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8" w:name="sec-list-of-abbreviations-and-acronyms"/>
    <w:p>
      <w:pPr>
        <w:pStyle w:val="Heading1"/>
      </w:pPr>
      <w:r>
        <w:t xml:space="preserve">10. 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86">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87">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88"/>
    <w:bookmarkStart w:id="90" w:name="sec-references"/>
    <w:p>
      <w:pPr>
        <w:pStyle w:val="Heading1"/>
      </w:pPr>
      <w:r>
        <w:t xml:space="preserve">11.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r>
        <w:t xml:space="preserve"> </w:t>
      </w:r>
      <w:hyperlink r:id="rId89">
        <w:r>
          <w:rPr>
            <w:rStyle w:val="Hyperlink"/>
          </w:rPr>
          <w:t xml:space="preserve">https://doi.org/10.3390/land10101028</w:t>
        </w:r>
      </w:hyperlink>
    </w:p>
    <w:bookmarkEnd w:id="90"/>
    <w:bookmarkStart w:id="91" w:name="sec-annexes"/>
    <w:p>
      <w:pPr>
        <w:pStyle w:val="Heading1"/>
      </w:pPr>
      <w:r>
        <w:t xml:space="preserve">12. Annexes</w:t>
      </w:r>
    </w:p>
    <w:p>
      <w:pPr>
        <w:pStyle w:val="FirstParagraph"/>
      </w:pPr>
      <w:r>
        <w:t xml:space="preserve">Table 3: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91"/>
    <w:bookmarkStart w:id="92" w:name="document-history"/>
    <w:p>
      <w:pPr>
        <w:pStyle w:val="Heading1"/>
      </w:pPr>
      <w:r>
        <w:t xml:space="preserve">13.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bl>
    <w:bookmarkEnd w:id="92"/>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hyperlink r:id="rId33">
        <w:r>
          <w:rPr>
            <w:rStyle w:val="Hyperlink"/>
          </w:rPr>
          <w:t xml:space="preserve">Nextspace User Study: 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49">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0">
        <w:r>
          <w:rPr>
            <w:rStyle w:val="Hyperlink"/>
          </w:rPr>
          <w:t xml:space="preserve">https://www.fao.org/3/I8661EN/i8661en.pdf</w:t>
        </w:r>
      </w:hyperlink>
    </w:p>
  </w:footnote>
  <w:footnote w:id="79">
    <w:p>
      <w:pPr>
        <w:pStyle w:val="FootnoteText"/>
      </w:pPr>
      <w:r>
        <w:rPr>
          <w:rStyle w:val="FootnoteReference"/>
        </w:rPr>
        <w:footnoteRef/>
      </w:r>
      <w:r>
        <w:t xml:space="preserve"> </w:t>
      </w:r>
      <w:hyperlink r:id="rId80">
        <w:r>
          <w:rPr>
            <w:rStyle w:val="Hyperlink"/>
          </w:rPr>
          <w:t xml:space="preserve">Copernicus Land Monitoring Service – Data Policy</w:t>
        </w:r>
      </w:hyperlink>
    </w:p>
  </w:footnote>
  <w:footnote w:id="82">
    <w:p>
      <w:pPr>
        <w:pStyle w:val="FootnoteText"/>
      </w:pPr>
      <w:r>
        <w:rPr>
          <w:rStyle w:val="FootnoteReference"/>
        </w:rPr>
        <w:footnoteRef/>
      </w:r>
      <w:r>
        <w:t xml:space="preserve"> </w:t>
      </w:r>
      <w:hyperlink r:id="rId83">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Small Landscape Features 2021 – Product User Manual</dc:title>
  <dc:creator/>
  <cp:category>products</cp:category>
  <dc:description>The High-Resolution Layer Small Landscape Features 2021 (HRL SLF) Product User Manual is designed to assist users in understanding and utilising the HRL SLF data effectively. The document outlines the characteristics, quality, and use of HRL SLF, addressing end-users who require an overview without deep technical knowledge. It presents product features, the product’s background, applications, and the methodology used for production. The manual specifically covers the Woody Vegetation Layer and other SLF derivatives.</dc:description>
  <cp:keywords>Small Landscape Features, Woody Vegetation Layer, Change detection, Copernicus Land Monitoring Service, High Resolution Layer, Remote sensing, Environmental monitoring, Landscape management, Sentinel-2 data, Urban Atlas</cp:keywords>
  <dcterms:created xsi:type="dcterms:W3CDTF">2026-02-10T13:05:33Z</dcterms:created>
  <dcterms:modified xsi:type="dcterms:W3CDTF">2026-02-10T13:05:33Z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2026-04-09</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High_Resolution_Layer/Small_Landscape_Features_2021_PUM_v1.qmd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