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presents the IT Architecture Principles and Implementation Guidelines for the Copernicus Land Monitoring Service (CLMS). It defines the framework for scalable, secure, and consistent IT solutions. Covering architectural themes such as reproducibility, reusability, transparency, maintainability, security, and resilience, the document supports the CLMS program’s vision. It promotes interoperability, cloud-agnostic solutions, and adherence to industry standards, while ensuring solutions are adaptable, transparent, and efficiently maintained.</dc:description>
  <cp:keywords>IT architecture principles, Implementation guidelines, Copernicus Land Monitoring Service, Modularity, Reproducibility, Reusability, Transparency, Maintainability, IT security, Resilience</cp:keywords>
  <dcterms:created xsi:type="dcterms:W3CDTF">2026-02-11T15:11:15Z</dcterms:created>
  <dcterms:modified xsi:type="dcterms:W3CDTF">2026-02-11T15:11:15Z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