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0000"/>
    <w:p>
      <w:pPr>
        <w:pStyle w:val="Heading1"/>
      </w:pPr>
      <w:r>
        <w:t xml:space="preserve">2. New CHapter</w:t>
      </w:r>
    </w:p>
    <w:p>
      <w:pPr>
        <w:pStyle w:val="FirstParagraph"/>
      </w:pPr>
      <w:r>
        <w:t xml:space="preserve">abcdef</w:t>
      </w:r>
    </w:p>
    <w:bookmarkEnd w:id="22"/>
    <w:bookmarkStart w:id="23" w:name="introduction"/>
    <w:p>
      <w:pPr>
        <w:pStyle w:val="Heading1"/>
      </w:pPr>
      <w:r>
        <w:t xml:space="preserve">3. Introduction</w:t>
      </w:r>
    </w:p>
    <w:p>
      <w:pPr>
        <w:pStyle w:val="FirstParagraph"/>
      </w:pPr>
      <w:r>
        <w:t xml:space="preserve">NEW DATA ADDEED FOR TESTING 123</w:t>
      </w:r>
      <w:r>
        <w:t xml:space="preserve"> </w:t>
      </w: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3"/>
    <w:bookmarkStart w:id="24" w:name="scope-and-key-terms"/>
    <w:p>
      <w:pPr>
        <w:pStyle w:val="Heading1"/>
      </w:pPr>
      <w:r>
        <w:t xml:space="preserve">4.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4"/>
    <w:bookmarkStart w:id="34" w:name="principles"/>
    <w:p>
      <w:pPr>
        <w:pStyle w:val="Heading1"/>
      </w:pPr>
      <w:r>
        <w:t xml:space="preserve">5.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5" w:name="architecture"/>
    <w:p>
      <w:pPr>
        <w:pStyle w:val="Heading2"/>
      </w:pPr>
      <w:r>
        <w:t xml:space="preserve">5.1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5"/>
    <w:bookmarkStart w:id="26" w:name="reproducibility"/>
    <w:p>
      <w:pPr>
        <w:pStyle w:val="Heading2"/>
      </w:pPr>
      <w:r>
        <w:t xml:space="preserve">5.2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6"/>
    <w:bookmarkStart w:id="27" w:name="reusability"/>
    <w:p>
      <w:pPr>
        <w:pStyle w:val="Heading2"/>
      </w:pPr>
      <w:r>
        <w:t xml:space="preserve">5.3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7"/>
    <w:bookmarkStart w:id="29" w:name="transparency"/>
    <w:p>
      <w:pPr>
        <w:pStyle w:val="Heading2"/>
      </w:pPr>
      <w:r>
        <w:t xml:space="preserve">5.4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8"/>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9"/>
    <w:bookmarkStart w:id="30" w:name="maintainability"/>
    <w:p>
      <w:pPr>
        <w:pStyle w:val="Heading2"/>
      </w:pPr>
      <w:r>
        <w:t xml:space="preserve">5.5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30"/>
    <w:bookmarkStart w:id="31" w:name="observability"/>
    <w:p>
      <w:pPr>
        <w:pStyle w:val="Heading2"/>
      </w:pPr>
      <w:r>
        <w:t xml:space="preserve">5.6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1"/>
    <w:bookmarkStart w:id="32" w:name="it-security"/>
    <w:p>
      <w:pPr>
        <w:pStyle w:val="Heading2"/>
      </w:pPr>
      <w:r>
        <w:t xml:space="preserve">5.7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2"/>
    <w:bookmarkStart w:id="33" w:name="resilience"/>
    <w:p>
      <w:pPr>
        <w:pStyle w:val="Heading2"/>
      </w:pPr>
      <w:r>
        <w:t xml:space="preserve">5.8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3"/>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establishes a consistent framework for delivering scalable and secure IT solutions within the CLMS programme. Emphasising modularity, reproducibility, transparency, maintainability, observability, IT security, and resilience, these guidelines ensure that all IT solutions are coherent, adaptable, and efficiently operated across the CLMS IT landscape.</dc:description>
  <cp:keywords>Modular microservice architecture, Docker containerisation, REST API service integration, Cloud agnostic solutions, Data pre-processing workflow description, Software development tool listing, CI/CD DevOps setup, EUPL-1.2 licensing, Role-based access control, Disaster recovery planning</cp:keywords>
  <dcterms:created xsi:type="dcterms:W3CDTF">2025-12-03T12:24:50Z</dcterms:created>
  <dcterms:modified xsi:type="dcterms:W3CDTF">2025-12-03T12:24:50Z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