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for delivering consistent, scalable, and secure IT solutions within the CLMS programme. The guidelines emphasise modularity, reproducibility, transparency, maintainability, observability, IT security and resilience, ensuring that IT solutions are coherent, adaptable, and operated efficiently while adhering to best practices and industry standards.</dc:description>
  <cp:keywords>microservice architecture, containerisation technology, REST API service, cloud agnostic solutions, pre-processing workflow description, software development tool listing, CI/CD dev-ops setup, automated regression tests, role-based access control, disaster recovery plan</cp:keywords>
  <dcterms:created xsi:type="dcterms:W3CDTF">2025-09-24T21:14:33Z</dcterms:created>
  <dcterms:modified xsi:type="dcterms:W3CDTF">2025-09-24T21:14:33Z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1.4b</vt:lpwstr>
  </property>
</Properties>
</file>