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to ensure that all IT solutions delivered to the CLMS are consistent, scalable, secure, and aligned with the programme’s overall IT vision and strategy. The guidelines emphasise key attributes such as modularity, reproducibility, transparency, maintainability, and resilience, aiming to foster a coherent and adaptable IT landscape that efficiently supports the CLMS’s operational needs.</dc:description>
  <cp:keywords>Modular IT solutions, Containerisation technologies, REST API services, Cloud-agnostic design, Reproducible workflows, Automated scripting, EUPL-1.2 license, Continuous Integration/Continuous Deployment, Role-based access control, Disaster recovery planning</cp:keywords>
  <dcterms:created xsi:type="dcterms:W3CDTF">2025-09-29T21:22:13Z</dcterms:created>
  <dcterms:modified xsi:type="dcterms:W3CDTF">2025-09-29T21:22:13Z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