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non-browsable</cp:category>
  <dc:description>This document delineates the IT architecture principles and implementation guidelines for the Copernicus Land Monitoring Service (CLMS), overseen by the European Environment Agency (EEA). It serves as a framework to ensure IT solutions are consistent, scalable, and secure, with a strong emphasis on modularity, reproducibility, transparency, maintainability, observability, IT security and resilience. These guidelines aim to support the CLMS programme’s IT vision by fostering solutions that are coherent, adaptable, and efficiently operated within the CLMS IT ecosystem.</dc:description>
  <cp:keywords>modular microservice architecture, Docker containerisation technology, REST API service interface, cloud agnostic IT solutions, data pre-processing workflow description, EUPL-1.2 licensing, Continuous Integration/Continuous Deployment (CI/CD), automated software testing, role-based access control (RBAC), disaster recovery planning</cp:keywords>
  <dcterms:created xsi:type="dcterms:W3CDTF">2025-09-28T10:32:39Z</dcterms:created>
  <dcterms:modified xsi:type="dcterms:W3CDTF">2025-09-28T10:32:39Z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