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5"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tbl>
      <w:tblPr>
        <w:tblStyle w:val="FigureTable"/>
        <w:tblW w:type="auto" w:w="0"/>
        <w:jc w:val="center"/>
        <w:tblLook w:firstRow="0" w:lastRow="0" w:firstColumn="0" w:lastColumn="0"/>
      </w:tblPr>
      <w:tblGrid>
        <w:gridCol w:w="7920"/>
      </w:tblGrid>
      <w:tr>
        <w:tc>
          <w:tcPr/>
          <w:p>
            <w:pPr>
              <w:pStyle w:val="Compact"/>
              <w:jc w:val="center"/>
            </w:pPr>
            <w:r>
              <w:t xml:space="preserve">Figure 3-1 Evolution of HRL Forest and Grassland towards the three product groups HRL Tree Cover &amp; Forests, HRL Grasslands, HRL Croplands.</w:t>
            </w:r>
          </w:p>
        </w:tc>
      </w:tr>
    </w:tbl>
    <w:p>
      <w:pPr>
        <w:pStyle w:val="ImageCaption"/>
      </w:pPr>
      <w:r>
        <w:t xml:space="preserve">Figure 3-1 Evolution of HRL Forest and Grassland towards the three product groups HRL Tree Cover &amp; Forests, HRL Grasslands, HRL Croplands.</w:t>
      </w:r>
    </w:p>
    <w:bookmarkEnd w:id="25"/>
    <w:bookmarkStart w:id="26"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6"/>
    <w:bookmarkStart w:id="29"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27"/>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28"/>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tbl>
      <w:tblPr>
        <w:tblStyle w:val="FigureTable"/>
        <w:tblW w:type="auto" w:w="0"/>
        <w:jc w:val="center"/>
        <w:tblLook w:firstRow="0" w:lastRow="0" w:firstColumn="0" w:lastColumn="0"/>
      </w:tblPr>
      <w:tblGrid>
        <w:gridCol w:w="7920"/>
      </w:tblGrid>
      <w:tr>
        <w:tc>
          <w:tcPr/>
          <w:p>
            <w:pPr>
              <w:pStyle w:val="Compact"/>
              <w:jc w:val="center"/>
            </w:pPr>
            <w:r>
              <w:t xml:space="preserve">Figure 5-1: Products within the HRL vegetated land cover characteristics.</w:t>
            </w:r>
          </w:p>
        </w:tc>
      </w:tr>
    </w:tbl>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tbl>
      <w:tblPr>
        <w:tblStyle w:val="FigureTable"/>
        <w:tblW w:type="auto" w:w="0"/>
        <w:jc w:val="center"/>
        <w:tblLook w:firstRow="0" w:lastRow="0" w:firstColumn="0" w:lastColumn="0"/>
      </w:tblPr>
      <w:tblGrid>
        <w:gridCol w:w="7920"/>
      </w:tblGrid>
      <w:tr>
        <w:tc>
          <w:tcPr/>
          <w:p>
            <w:pPr>
              <w:pStyle w:val="Compact"/>
              <w:jc w:val="center"/>
            </w:pPr>
            <w:r>
              <w:t xml:space="preserve">Figure 5-2: High-level overview of the relationship between the Base Vegetation Layer and the subsequent production of Grasslands, Croplands and Tree Cover &amp; Forests products</w:t>
            </w:r>
          </w:p>
        </w:tc>
      </w:tr>
    </w:tbl>
    <w:p>
      <w:pPr>
        <w:pStyle w:val="ImageCaption"/>
      </w:pPr>
      <w:r>
        <w:t xml:space="preserve">Figure 5-2: High-level overview of the relationship between the Base Vegetation Layer and the subsequent production of Grasslands, Croplands and Tree Cover &amp; Forests products</w:t>
      </w:r>
    </w:p>
    <w:bookmarkEnd w:id="29"/>
    <w:bookmarkStart w:id="33"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30"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tc>
      </w:tr>
    </w:tbl>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30"/>
    <w:bookmarkStart w:id="32"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31"/>
      </w:r>
      <w:r>
        <w:t xml:space="preserve"> </w:t>
      </w:r>
      <w:r>
        <w:t xml:space="preserve">project, it is intended to use these layers to apply specific parametrization over crop and grassland locations.</w:t>
      </w:r>
    </w:p>
    <w:bookmarkEnd w:id="32"/>
    <w:bookmarkEnd w:id="33"/>
    <w:bookmarkStart w:id="41"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tbl>
      <w:tblPr>
        <w:tblStyle w:val="FigureTable"/>
        <w:tblW w:type="auto" w:w="0"/>
        <w:jc w:val="center"/>
        <w:tblLook w:firstRow="0" w:lastRow="0" w:firstColumn="0" w:lastColumn="0"/>
      </w:tblPr>
      <w:tblGrid>
        <w:gridCol w:w="7920"/>
      </w:tblGrid>
      <w:tr>
        <w:tc>
          <w:tcPr/>
          <w:p>
            <w:pPr>
              <w:pStyle w:val="Compact"/>
              <w:jc w:val="center"/>
            </w:pPr>
            <w:r>
              <w:t xml:space="preserve">Figure 7-1: LAEA tile layout incl. distinction between tiles to cover EU27 and EEA38.</w:t>
            </w:r>
          </w:p>
        </w:tc>
      </w:tr>
    </w:tbl>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tbl>
      <w:tblPr>
        <w:tblStyle w:val="FigureTable"/>
        <w:tblW w:type="auto" w:w="0"/>
        <w:jc w:val="center"/>
        <w:tblLook w:firstRow="0" w:lastRow="0" w:firstColumn="0" w:lastColumn="0"/>
      </w:tblPr>
      <w:tblGrid>
        <w:gridCol w:w="7920"/>
      </w:tblGrid>
      <w:tr>
        <w:tc>
          <w:tcPr/>
          <w:p>
            <w:pPr>
              <w:pStyle w:val="Compact"/>
              <w:jc w:val="center"/>
            </w:pPr>
            <w:r>
              <w:t xml:space="preserve">Figure 7-2: Worflow dependencies of HRL Grasslands layers</w:t>
            </w:r>
          </w:p>
        </w:tc>
      </w:tr>
    </w:tbl>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tbl>
      <w:tblPr>
        <w:tblStyle w:val="FigureTable"/>
        <w:tblW w:type="auto" w:w="0"/>
        <w:jc w:val="center"/>
        <w:tblLook w:firstRow="0" w:lastRow="0" w:firstColumn="0" w:lastColumn="0"/>
      </w:tblPr>
      <w:tblGrid>
        <w:gridCol w:w="7920"/>
      </w:tblGrid>
      <w:tr>
        <w:tc>
          <w:tcPr/>
          <w:p>
            <w:pPr>
              <w:pStyle w:val="Compact"/>
              <w:jc w:val="center"/>
            </w:pPr>
            <w:r>
              <w:t xml:space="preserve">Figure 7-3: Grouping of GRAME and GRAMD for one reference year.</w:t>
            </w:r>
          </w:p>
        </w:tc>
      </w:tr>
    </w:tbl>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34"/>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tbl>
      <w:tblPr>
        <w:tblStyle w:val="FigureTable"/>
        <w:tblW w:type="auto" w:w="0"/>
        <w:jc w:val="center"/>
        <w:tblLook w:firstRow="0" w:lastRow="0" w:firstColumn="0" w:lastColumn="0"/>
      </w:tblPr>
      <w:tblGrid>
        <w:gridCol w:w="7920"/>
      </w:tblGrid>
      <w:tr>
        <w:tc>
          <w:tcPr/>
          <w:p>
            <w:pPr>
              <w:pStyle w:val="Compact"/>
              <w:jc w:val="center"/>
            </w:pPr>
            <w:r>
              <w:t xml:space="preserve">Figure 7-4: HRL Grasslands product portfolio</w:t>
            </w:r>
          </w:p>
        </w:tc>
      </w:tr>
    </w:tbl>
    <w:p>
      <w:pPr>
        <w:pStyle w:val="ImageCaption"/>
      </w:pPr>
      <w:r>
        <w:t xml:space="preserve">Figure 7-4: HRL Grasslands product portfolio</w:t>
      </w:r>
    </w:p>
    <w:bookmarkStart w:id="35"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tbl>
      <w:tblPr>
        <w:tblStyle w:val="FigureTable"/>
        <w:tblW w:type="auto" w:w="0"/>
        <w:jc w:val="center"/>
        <w:tblLook w:firstRow="0" w:lastRow="0" w:firstColumn="0" w:lastColumn="0"/>
      </w:tblPr>
      <w:tblGrid>
        <w:gridCol w:w="7920"/>
      </w:tblGrid>
      <w:tr>
        <w:tc>
          <w:tcPr/>
          <w:p>
            <w:pPr>
              <w:pStyle w:val="Compact"/>
              <w:jc w:val="center"/>
            </w:pPr>
            <w:r>
              <w:t xml:space="preserve">Figure 7-5: Exemplary NDVI time-series illustrating the typical drops after mowing events.</w:t>
            </w:r>
          </w:p>
        </w:tc>
      </w:tr>
    </w:tbl>
    <w:p>
      <w:pPr>
        <w:pStyle w:val="ImageCaption"/>
      </w:pPr>
      <w:r>
        <w:t xml:space="preserve">Figure 7-5: Exemplary NDVI time-series illustrating the typical drops after mowing events.</w:t>
      </w:r>
    </w:p>
    <w:bookmarkEnd w:id="35"/>
    <w:bookmarkStart w:id="36"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36"/>
    <w:bookmarkStart w:id="37"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37"/>
    <w:bookmarkStart w:id="38"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38"/>
    <w:bookmarkStart w:id="39"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39"/>
    <w:bookmarkStart w:id="40"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40"/>
    <w:bookmarkEnd w:id="41"/>
    <w:bookmarkStart w:id="4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42"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42"/>
    <w:bookmarkStart w:id="4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Figure 8-1: Spatial distribution of 14.000 Primary Sampling Units.</w:t>
            </w:r>
          </w:p>
        </w:tc>
      </w:tr>
    </w:tbl>
    <w:p>
      <w:pPr>
        <w:pStyle w:val="ImageCaption"/>
      </w:pPr>
      <w:r>
        <w:t xml:space="preserve">Figure 8-1: Spatial distribution of 14.000 Primary Sampling Units.</w:t>
      </w:r>
    </w:p>
    <w:bookmarkEnd w:id="43"/>
    <w:bookmarkStart w:id="4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44"/>
      </w:r>
      <w:r>
        <w:t xml:space="preserve"> </w:t>
      </w:r>
      <w:r>
        <w:t xml:space="preserve">and</w:t>
      </w:r>
      <w:r>
        <w:t xml:space="preserve"> </w:t>
      </w:r>
      <w:r>
        <w:rPr>
          <w:b/>
          <w:bCs/>
        </w:rPr>
        <w:t xml:space="preserve">VHR_IMAGE_2021</w:t>
      </w:r>
      <w:r>
        <w:rPr>
          <w:rStyle w:val="FootnoteReference"/>
        </w:rPr>
        <w:footnoteReference w:id="4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46"/>
    <w:bookmarkStart w:id="4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47"/>
    <w:bookmarkStart w:id="4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48"/>
    <w:bookmarkEnd w:id="49"/>
    <w:bookmarkStart w:id="55" w:name="Xa3c1452ea71086d407b5287beded3ebb3b0e676"/>
    <w:p>
      <w:pPr>
        <w:pStyle w:val="Heading1"/>
      </w:pPr>
      <w:r>
        <w:t xml:space="preserve">9. Terms of use and product technical support</w:t>
      </w:r>
    </w:p>
    <w:bookmarkStart w:id="5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50">
        <w:r>
          <w:rPr>
            <w:rStyle w:val="Hyperlink"/>
          </w:rPr>
          <w:t xml:space="preserve">Data policy — Copernicus Land Monitoring Service</w:t>
        </w:r>
      </w:hyperlink>
      <w:r>
        <w:t xml:space="preserve"> </w:t>
      </w:r>
      <w:r>
        <w:t xml:space="preserve">for further details.</w:t>
      </w:r>
    </w:p>
    <w:bookmarkEnd w:id="51"/>
    <w:bookmarkStart w:id="5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50">
        <w:r>
          <w:rPr>
            <w:rStyle w:val="Hyperlink"/>
          </w:rPr>
          <w:t xml:space="preserve">Data policy — Copernicus Land Monitoring Service</w:t>
        </w:r>
      </w:hyperlink>
      <w:r>
        <w:t xml:space="preserve"> </w:t>
      </w:r>
      <w:r>
        <w:t xml:space="preserve">for further details.</w:t>
      </w:r>
    </w:p>
    <w:bookmarkEnd w:id="52"/>
    <w:bookmarkStart w:id="5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5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54"/>
    <w:bookmarkEnd w:id="55"/>
    <w:bookmarkStart w:id="5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56"/>
    <w:bookmarkStart w:id="5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57"/>
    <w:bookmarkStart w:id="58"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58"/>
        <w:tblLayout w:type="fixed"/>
        <w:tblLook w:firstRow="1" w:lastRow="0" w:firstColumn="0" w:lastColumn="0" w:noHBand="0" w:noVBand="0" w:val="0020"/>
      </w:tblPr>
      <w:tblGrid>
        <w:gridCol w:w="730"/>
        <w:gridCol w:w="1235"/>
        <w:gridCol w:w="449"/>
        <w:gridCol w:w="449"/>
        <w:gridCol w:w="449"/>
        <w:gridCol w:w="4381"/>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all non-grass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0-2: Colour palette and attributes of HER layer</w:t>
      </w:r>
    </w:p>
    <w:tbl>
      <w:tblPr>
        <w:tblStyle w:val="Table"/>
        <w:tblW w:type="pct" w:w="4903"/>
        <w:tblLayout w:type="fixed"/>
        <w:tblLook w:firstRow="1" w:lastRow="0" w:firstColumn="0" w:lastColumn="0" w:noHBand="0" w:noVBand="0" w:val="0020"/>
      </w:tblPr>
      <w:tblGrid>
        <w:gridCol w:w="573"/>
        <w:gridCol w:w="2066"/>
        <w:gridCol w:w="306"/>
        <w:gridCol w:w="382"/>
        <w:gridCol w:w="344"/>
        <w:gridCol w:w="4093"/>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non-grassland in reference year</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0-3: Colour palette and attributes of PLOUGH layer</w:t>
      </w:r>
    </w:p>
    <w:tbl>
      <w:tblPr>
        <w:tblStyle w:val="Table"/>
        <w:tblW w:type="pct" w:w="4899"/>
        <w:tblLayout w:type="fixed"/>
        <w:tblLook w:firstRow="1" w:lastRow="0" w:firstColumn="0" w:lastColumn="0" w:noHBand="0" w:noVBand="0" w:val="0020"/>
      </w:tblPr>
      <w:tblGrid>
        <w:gridCol w:w="600"/>
        <w:gridCol w:w="1800"/>
        <w:gridCol w:w="320"/>
        <w:gridCol w:w="400"/>
        <w:gridCol w:w="360"/>
        <w:gridCol w:w="4280"/>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Indication of ploughing in current year</w:t>
            </w:r>
          </w:p>
        </w:tc>
        <w:tc>
          <w:tcPr/>
          <w:p>
            <w:pPr>
              <w:pStyle w:val="Compact"/>
            </w:pPr>
            <w:r>
              <w:t xml:space="preserve">66</w:t>
            </w:r>
          </w:p>
        </w:tc>
        <w:tc>
          <w:tcPr/>
          <w:p>
            <w:pPr>
              <w:pStyle w:val="Compact"/>
            </w:pPr>
            <w:r>
              <w:t xml:space="preserve">0</w:t>
            </w:r>
          </w:p>
        </w:tc>
        <w:tc>
          <w:tcPr/>
          <w:p>
            <w:pPr>
              <w:pStyle w:val="Compact"/>
            </w:pPr>
            <w:r>
              <w:t xml:space="preserve">0</w:t>
            </w:r>
          </w:p>
        </w:tc>
        <w:tc>
          <w:tcPr/>
          <w:p>
            <w:pPr>
              <w:pStyle w:val="Compact"/>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0-4: Colour palette and attributes of GRAC layer</w:t>
      </w:r>
    </w:p>
    <w:tbl>
      <w:tblPr>
        <w:tblStyle w:val="Table"/>
        <w:tblW w:type="pct" w:w="4895"/>
        <w:tblLayout w:type="fixed"/>
        <w:tblLook w:firstRow="1" w:lastRow="0" w:firstColumn="0" w:lastColumn="0" w:noHBand="0" w:noVBand="0" w:val="0020"/>
      </w:tblPr>
      <w:tblGrid>
        <w:gridCol w:w="539"/>
        <w:gridCol w:w="1990"/>
        <w:gridCol w:w="331"/>
        <w:gridCol w:w="331"/>
        <w:gridCol w:w="331"/>
        <w:gridCol w:w="4229"/>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unchanged non-grassland in both years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0-5: Colour palette and attributes of GRACL layer</w:t>
      </w:r>
    </w:p>
    <w:tbl>
      <w:tblPr>
        <w:tblStyle w:val="Table"/>
        <w:tblW w:type="pct" w:w="4904"/>
        <w:tblLayout w:type="fixed"/>
        <w:tblLook w:firstRow="1" w:lastRow="0" w:firstColumn="0" w:lastColumn="0" w:noHBand="0" w:noVBand="0" w:val="0020"/>
      </w:tblPr>
      <w:tblGrid>
        <w:gridCol w:w="492"/>
        <w:gridCol w:w="1136"/>
        <w:gridCol w:w="1023"/>
        <w:gridCol w:w="1023"/>
        <w:gridCol w:w="1023"/>
        <w:gridCol w:w="3069"/>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0-6: Colour palette and attributes of GRACCL layer</w:t>
      </w:r>
    </w:p>
    <w:tbl>
      <w:tblPr>
        <w:tblStyle w:val="Table"/>
        <w:tblW w:type="pct" w:w="4907"/>
        <w:tblLayout w:type="fixed"/>
        <w:tblLook w:firstRow="1" w:lastRow="0" w:firstColumn="0" w:lastColumn="0" w:noHBand="0" w:noVBand="0" w:val="0020"/>
      </w:tblPr>
      <w:tblGrid>
        <w:gridCol w:w="476"/>
        <w:gridCol w:w="1356"/>
        <w:gridCol w:w="990"/>
        <w:gridCol w:w="990"/>
        <w:gridCol w:w="990"/>
        <w:gridCol w:w="2970"/>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change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0-7: Colour palette and attributes of GRAMECL layer</w:t>
      </w:r>
    </w:p>
    <w:tbl>
      <w:tblPr>
        <w:tblStyle w:val="Table"/>
        <w:tblW w:type="pct" w:w="4907"/>
        <w:tblLayout w:type="fixed"/>
        <w:tblLook w:firstRow="1" w:lastRow="0" w:firstColumn="0" w:lastColumn="0" w:noHBand="0" w:noVBand="0" w:val="0020"/>
      </w:tblPr>
      <w:tblGrid>
        <w:gridCol w:w="478"/>
        <w:gridCol w:w="1362"/>
        <w:gridCol w:w="994"/>
        <w:gridCol w:w="994"/>
        <w:gridCol w:w="994"/>
        <w:gridCol w:w="2946"/>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mowing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0-8: Colour palette and attributes of GRAME layer</w:t>
      </w:r>
    </w:p>
    <w:tbl>
      <w:tblPr>
        <w:tblStyle w:val="Table"/>
        <w:tblW w:type="pct" w:w="4913"/>
        <w:tblLayout w:type="fixed"/>
        <w:tblLook w:firstRow="1" w:lastRow="0" w:firstColumn="0" w:lastColumn="0" w:noHBand="0" w:noVBand="0" w:val="0020"/>
      </w:tblPr>
      <w:tblGrid>
        <w:gridCol w:w="445"/>
        <w:gridCol w:w="2331"/>
        <w:gridCol w:w="240"/>
        <w:gridCol w:w="274"/>
        <w:gridCol w:w="240"/>
        <w:gridCol w:w="4251"/>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pPr>
        <w:pStyle w:val="BodyText"/>
      </w:pPr>
      <w:r>
        <w:rPr>
          <w:b/>
          <w:bCs/>
        </w:rPr>
        <w:t xml:space="preserve">Table 0-9: Colour palette and attributes of GRAMD layer</w:t>
      </w:r>
    </w:p>
    <w:tbl>
      <w:tblPr>
        <w:tblStyle w:val="Table"/>
        <w:tblW w:type="pct" w:w="4909"/>
        <w:tblLayout w:type="fixed"/>
        <w:tblLook w:firstRow="1" w:lastRow="0" w:firstColumn="0" w:lastColumn="0" w:noHBand="0" w:noVBand="0" w:val="0020"/>
      </w:tblPr>
      <w:tblGrid>
        <w:gridCol w:w="506"/>
        <w:gridCol w:w="1374"/>
        <w:gridCol w:w="976"/>
        <w:gridCol w:w="976"/>
        <w:gridCol w:w="976"/>
        <w:gridCol w:w="2965"/>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no mowing detected</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p>
            <w:pPr>
              <w:pStyle w:val="Compact"/>
            </w:pP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p>
            <w:pPr>
              <w:pStyle w:val="Compact"/>
            </w:pP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p>
            <w:pPr>
              <w:pStyle w:val="Compact"/>
            </w:pP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p>
        </w:tc>
      </w:tr>
    </w:tbl>
    <w:p>
      <w:r>
        <w:br w:type="page"/>
      </w:r>
    </w:p>
    <w:bookmarkEnd w:id="58"/>
    <w:bookmarkStart w:id="59" w:name="document-history"/>
    <w:p>
      <w:pPr>
        <w:pStyle w:val="Heading1"/>
      </w:pPr>
      <w:r>
        <w:t xml:space="preserve">13.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59"/>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https://land.copernicus.eu/en/eagle?tab=technical_implementation</w:t>
      </w:r>
    </w:p>
  </w:footnote>
  <w:footnote w:id="28">
    <w:p>
      <w:pPr>
        <w:pStyle w:val="FootnoteText"/>
      </w:pPr>
      <w:r>
        <w:rPr>
          <w:rStyle w:val="FootnoteReference"/>
        </w:rPr>
        <w:footnoteRef/>
      </w:r>
      <w:r>
        <w:t xml:space="preserve"> </w:t>
      </w:r>
      <w:r>
        <w:t xml:space="preserve">https://land.copernicus.eu/en/technical-library/product-user-manual-clc-backbone-2021</w:t>
      </w:r>
    </w:p>
  </w:footnote>
  <w:footnote w:id="31">
    <w:p>
      <w:pPr>
        <w:pStyle w:val="FootnoteText"/>
      </w:pPr>
      <w:r>
        <w:rPr>
          <w:rStyle w:val="FootnoteReference"/>
        </w:rPr>
        <w:footnoteRef/>
      </w:r>
      <w:r>
        <w:t xml:space="preserve"> </w:t>
      </w:r>
      <w:r>
        <w:t xml:space="preserve">https://www.evo-land.eu/method/biomass-mapping/</w:t>
      </w:r>
    </w:p>
  </w:footnote>
  <w:footnote w:id="34">
    <w:p>
      <w:pPr>
        <w:pStyle w:val="FootnoteText"/>
      </w:pPr>
      <w:r>
        <w:rPr>
          <w:rStyle w:val="FootnoteReference"/>
        </w:rPr>
        <w:footnoteRef/>
      </w:r>
      <w:r>
        <w:t xml:space="preserve"> </w:t>
      </w:r>
      <w:r>
        <w:t xml:space="preserve">https://www.evo-land.eu/method/biomass-mapping/</w:t>
      </w:r>
    </w:p>
  </w:footnote>
  <w:footnote w:id="4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4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 Type="http://schemas.openxmlformats.org/officeDocument/2006/relationships/hyperlink" Id="rId53" Target="https://land.copernicus.eu/en/contact-service-helpdesk" TargetMode="External" /><Relationship Type="http://schemas.openxmlformats.org/officeDocument/2006/relationships/hyperlink" Id="rId5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53" Target="https://land.copernicus.eu/en/contact-service-helpdesk" TargetMode="External" /><Relationship Type="http://schemas.openxmlformats.org/officeDocument/2006/relationships/hyperlink" Id="rId5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and quality assessment procedures for the annual HRL Grasslands provision. The manual also provides essential information on product access, use conditions, and technical support, enabling users to effectively utilise this key dataset for environmental monitoring and land management applications.</dc:description>
  <cp:keywords>High Resolution Layers, Grassland status layer, Herbaceous Cover, Ploughing Indicator, Grassland Mowing Events, Grassland Change detection, Sentinel-2 time-series analysis, Overall Accuracy assessment, Land Use/Land Cover, Common Agricultural Policy</cp:keywords>
  <dcterms:created xsi:type="dcterms:W3CDTF">2025-10-01T13:14:47Z</dcterms:created>
  <dcterms:modified xsi:type="dcterms:W3CDTF">2025-10-01T13:14:47Z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