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and quality assessments. The manual covers aspects such as the lineage of the product, user requirements, product structure, potential applications, a detailed product description including nomenclature and class definitions, and information regarding product access, use conditions, and technical support, providing essential knowledge for effective utilisation of HRL Grasslands data.</dc:description>
  <cp:keywords>High Resolution Layer Grasslands, Herbaceous Cover, Grassland Mowing Events, Ploughing Indicator, Grassland Change detection, Overall Accuracy assessment, Sentinel-2 time-series analysis, Base Vegetation Layer classification, Copernicus Land Monitoring Service, European Environment Agency reference grid</cp:keywords>
  <dcterms:created xsi:type="dcterms:W3CDTF">2025-09-29T10:45:46Z</dcterms:created>
  <dcterms:modified xsi:type="dcterms:W3CDTF">2025-09-29T10:45:46Z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