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quality assessment, and usage terms. The document provides technical specifications, including nomenclature, file formats, spatial resolution, and temporal information, as well as insights into potential applications and use cases of the HRL Grasslands data, with a focus on mapping grassland extent, mowing events and temporal dynamics of herbaceous vegetation.</dc:description>
  <cp:keywords>Herbaceous Cover, Grassland Mowing Events, Ploughing Indicator, Grassland Change detection, Sentinel-2 time-series analysis, Cloud-Optimized GeoTIFF, Overall Accuracy assessment, Minimum Mapping Unit, Base Vegetation Layer classification, LAEA tile grid</cp:keywords>
  <dcterms:created xsi:type="dcterms:W3CDTF">2025-09-30T12:28:22Z</dcterms:created>
  <dcterms:modified xsi:type="dcterms:W3CDTF">2025-09-30T12:28:22Z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