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secret</cp:category>
  <dc:description>This document outlines the IT architecture principles and implementation guidelines for the Copernicus Land Monitoring Service (CLMS), managed by the European Environment Agency (EEA). It establishes a framework to ensure that all IT solutions developed for the CLMS are consistent, scalable, secure, and supplier-independent. The guidelines promote modularity, reproducibility, transparency, and maintainability, aligning with the CLMS program’s IT vision for coherent, adaptable, and efficiently operated solutions.</dc:description>
  <cp:keywords>microservice architecture, containerisation technology, documented APIs, cloud agnostic solutions, pre-processing workflow description, software development tool list, automated backup scripts, supervised classification algorithm, CI/CD dev-ops setup, role-based access control (RBAC)</cp:keywords>
  <dcterms:created xsi:type="dcterms:W3CDTF">2025-09-24T21:15:23Z</dcterms:created>
  <dcterms:modified xsi:type="dcterms:W3CDTF">2025-09-24T21:15:23Z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