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p>
      <w:r>
        <w:br w:type="page"/>
      </w:r>
    </w:p>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products_Urban_Atlas_Mapping_Guide_V6.3-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products_Urban_Atlas_Mapping_Guide_V6.3-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products_Urban_Atlas_Mapping_Guide_V6.3-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products_Urban_Atlas_Mapping_Guide_V6.3-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products_Urban_Atlas_Mapping_Guide_V6.3-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products_Urban_Atlas_Mapping_Guide_V6.3-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products_Urban_Atlas_Mapping_Guide_V6.3-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products_Urban_Atlas_Mapping_Guide_V6.3-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products_Urban_Atlas_Mapping_Guide_V6.3-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products_Urban_Atlas_Mapping_Guide_V6.3-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products_Urban_Atlas_Mapping_Guide_V6.3-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products_Urban_Atlas_Mapping_Guide_V6.3-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products_Urban_Atlas_Mapping_Guide_V6.3-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products_Urban_Atlas_Mapping_Guide_V6.3-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r>
        <w:t xml:space="preserve"> </w:t>
      </w:r>
      <w:p>
        <w:r>
          <w:br w:type="page"/>
        </w:r>
      </w:p>
    </w:p>
    <w:p>
      <w:r>
        <w:br w:type="page"/>
      </w:r>
    </w:p>
    <w:bookmarkEnd w:id="91"/>
    <w:bookmarkEnd w:id="92"/>
    <w:bookmarkEnd w:id="93"/>
    <w:bookmarkStart w:id="94" w:name="list-of-abbreviations"/>
    <w:p>
      <w:pPr>
        <w:pStyle w:val="Heading1"/>
      </w:pPr>
      <w:r>
        <w:t xml:space="preserve">5.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p>
      <w:r>
        <w:br w:type="page"/>
      </w:r>
    </w:p>
    <w:p>
      <w:r>
        <w:br w:type="page"/>
      </w:r>
    </w:p>
    <w:bookmarkEnd w:id="94"/>
    <w:bookmarkStart w:id="106" w:name="annex"/>
    <w:p>
      <w:pPr>
        <w:pStyle w:val="Heading1"/>
      </w:pPr>
      <w:r>
        <w:t xml:space="preserve">6. Annex</w:t>
      </w:r>
    </w:p>
    <w:bookmarkStart w:id="95" w:name="X71e903a05bf7e0fb742209bf978eec6dd3977ea"/>
    <w:p>
      <w:pPr>
        <w:pStyle w:val="Heading2"/>
      </w:pPr>
      <w:r>
        <w:t xml:space="preserve">6.1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6.2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6.3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6.3.1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6.3.2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6.3.3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6.3.4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6.3.5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6.3.6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6.3.7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6.4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 Product User Manual (PUM)</dc:title>
  <dc:creator/>
  <dc:description>This Product User Manual (PUM) provides comprehensive guidance for service providers involved in generating standardised land use and land cover (LU/LC) maps within the Copernicus Urban Atlas programme. It specifically addresses the updates for the 2012 and 2018 reference years, encompassing over 800 Functional Urban Areas (FUAs) across the EU, EFTA, Western Balkans, the UK, and Turkey. The manual details product specifications, mapping conventions, and class descriptions necessary to ensure congruent, comparable, and high-quality Urban Atlas products.</dc:description>
  <cp:keywords>Functional Urban Area, Land Use/Land Cover mapping, High-Resolution Layer Imperviousness, Street Tree Layer, Digital Height Model, Minimum Mapping Unit, Geometric adaptation, Accuracy assessment, Change detection, ETRS89 Lambert Azimuthal Equal Area</cp:keywords>
  <dcterms:created xsi:type="dcterms:W3CDTF">2025-09-24T21:15:53Z</dcterms:created>
  <dcterms:modified xsi:type="dcterms:W3CDTF">2025-09-24T21:15:53Z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6.3</vt:lpwstr>
  </property>
</Properties>
</file>