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ANNEX</w:t>
      </w:r>
      <w:r>
        <w:t xml:space="preserve"> </w:t>
      </w:r>
      <w:r>
        <w:t xml:space="preserve">IV:</w:t>
      </w:r>
      <w:r>
        <w:t xml:space="preserve"> </w:t>
      </w: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2024-11-08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p>
      <w:r>
        <w:br w:type="page"/>
      </w:r>
    </w:p>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numPr>
          <w:ilvl w:val="0"/>
          <w:numId w:val="1001"/>
        </w:numPr>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numPr>
          <w:ilvl w:val="0"/>
          <w:numId w:val="1001"/>
        </w:numPr>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numPr>
          <w:ilvl w:val="0"/>
          <w:numId w:val="1001"/>
        </w:numPr>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numPr>
          <w:ilvl w:val="0"/>
          <w:numId w:val="1001"/>
        </w:numPr>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numPr>
          <w:ilvl w:val="0"/>
          <w:numId w:val="1001"/>
        </w:numPr>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numPr>
          <w:ilvl w:val="0"/>
          <w:numId w:val="1001"/>
        </w:numPr>
      </w:pPr>
      <w:r>
        <w:rPr>
          <w:bCs/>
          <w:b/>
        </w:rPr>
        <w:t xml:space="preserve">Deliverables</w:t>
      </w:r>
      <w:r>
        <w:t xml:space="preserve"> </w:t>
      </w:r>
      <w:r>
        <w:t xml:space="preserve">– specific outputs, products, or results provided as part of the contract or a contractual agreement.</w:t>
      </w:r>
    </w:p>
    <w:p>
      <w:pPr>
        <w:numPr>
          <w:ilvl w:val="0"/>
          <w:numId w:val="1001"/>
        </w:numPr>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numPr>
          <w:ilvl w:val="0"/>
          <w:numId w:val="1001"/>
        </w:numPr>
      </w:pPr>
      <w:r>
        <w:rPr>
          <w:bCs/>
          <w:b/>
        </w:rPr>
        <w:t xml:space="preserve">End of support (EOS)</w:t>
      </w:r>
      <w:r>
        <w:t xml:space="preserve"> </w:t>
      </w:r>
      <w:r>
        <w:t xml:space="preserve">– refers to the date of complete cessation of all support services for the product, including new patches, updates or fixes.</w:t>
      </w:r>
    </w:p>
    <w:p>
      <w:pPr>
        <w:numPr>
          <w:ilvl w:val="0"/>
          <w:numId w:val="1001"/>
        </w:numPr>
      </w:pPr>
      <w:r>
        <w:rPr>
          <w:bCs/>
          <w:b/>
        </w:rPr>
        <w:t xml:space="preserve">Infrastructure-as-a-code</w:t>
      </w:r>
      <w:r>
        <w:t xml:space="preserve"> </w:t>
      </w:r>
      <w:r>
        <w:t xml:space="preserve">– is an IT practice that involves managing and provisioning computing infrastructure through machine-readable definition files, rather than physical hardware configuration or interactive configuration tools.</w:t>
      </w:r>
    </w:p>
    <w:p>
      <w:pPr>
        <w:numPr>
          <w:ilvl w:val="0"/>
          <w:numId w:val="1001"/>
        </w:numPr>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numPr>
          <w:ilvl w:val="0"/>
          <w:numId w:val="1001"/>
        </w:numPr>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numPr>
          <w:ilvl w:val="0"/>
          <w:numId w:val="1001"/>
        </w:numPr>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numPr>
          <w:ilvl w:val="0"/>
          <w:numId w:val="1001"/>
        </w:numPr>
      </w:pPr>
      <w:r>
        <w:rPr>
          <w:bCs/>
          <w:b/>
        </w:rPr>
        <w:t xml:space="preserve">Open-ended</w:t>
      </w:r>
      <w:r>
        <w:t xml:space="preserve"> </w:t>
      </w:r>
      <w:r>
        <w:t xml:space="preserve">– refers to components or features that are flexible, adaptable, and capable of evolving over time to meet a wide range of needs and requirements.</w:t>
      </w:r>
    </w:p>
    <w:p>
      <w:pPr>
        <w:numPr>
          <w:ilvl w:val="0"/>
          <w:numId w:val="1001"/>
        </w:numPr>
      </w:pPr>
      <w:r>
        <w:rPr>
          <w:bCs/>
          <w:b/>
        </w:rPr>
        <w:t xml:space="preserve">Pre-processing</w:t>
      </w:r>
      <w:r>
        <w:t xml:space="preserve"> </w:t>
      </w:r>
      <w:r>
        <w:t xml:space="preserve">- refers to the series of operations performed on raw data to prepare it for further analysis and processing.</w:t>
      </w:r>
    </w:p>
    <w:p>
      <w:pPr>
        <w:numPr>
          <w:ilvl w:val="0"/>
          <w:numId w:val="1001"/>
        </w:numPr>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numPr>
          <w:ilvl w:val="0"/>
          <w:numId w:val="1001"/>
        </w:numPr>
      </w:pPr>
      <w:r>
        <w:rPr>
          <w:bCs/>
          <w:b/>
        </w:rPr>
        <w:t xml:space="preserve">Software development tools</w:t>
      </w:r>
      <w:r>
        <w:t xml:space="preserve"> </w:t>
      </w:r>
      <w:r>
        <w:t xml:space="preserve">– applications, frameworks, and utilities that software developers use to create, debug, maintain, or support software.</w:t>
      </w:r>
    </w:p>
    <w:p>
      <w:pPr>
        <w:numPr>
          <w:ilvl w:val="0"/>
          <w:numId w:val="1001"/>
        </w:numPr>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numPr>
          <w:ilvl w:val="0"/>
          <w:numId w:val="1001"/>
        </w:numPr>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numPr>
          <w:ilvl w:val="0"/>
          <w:numId w:val="1001"/>
        </w:numPr>
      </w:pPr>
      <w:r>
        <w:rPr>
          <w:bCs/>
          <w:b/>
        </w:rPr>
        <w:t xml:space="preserve">Workflow</w:t>
      </w:r>
      <w:r>
        <w:t xml:space="preserve"> </w:t>
      </w:r>
      <w:r>
        <w:t xml:space="preserve">– systematic sequence of processes and activities.</w:t>
      </w:r>
    </w:p>
    <w:p>
      <w:r>
        <w:br w:type="page"/>
      </w:r>
    </w:p>
    <w:bookmarkEnd w:id="22"/>
    <w:bookmarkStart w:id="32" w:name="principles"/>
    <w:p>
      <w:pPr>
        <w:pStyle w:val="Heading1"/>
      </w:pPr>
      <w:r>
        <w:t xml:space="preserve">4. Principles</w:t>
      </w:r>
    </w:p>
    <w:p>
      <w:pPr>
        <w:pStyle w:val="FirstParagraph"/>
      </w:pPr>
      <w:r>
        <w:t xml:space="preserve">The principles are grouped into 6 overarching IT architectural themes:</w:t>
      </w:r>
    </w:p>
    <w:p>
      <w:pPr>
        <w:numPr>
          <w:ilvl w:val="0"/>
          <w:numId w:val="1002"/>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2"/>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2"/>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2"/>
        </w:numPr>
      </w:pPr>
      <w:r>
        <w:rPr>
          <w:bCs/>
          <w:b/>
        </w:rPr>
        <w:t xml:space="preserve">Scalability</w:t>
      </w:r>
      <w:r>
        <w:t xml:space="preserve"> </w:t>
      </w:r>
      <w:r>
        <w:t xml:space="preserve">- the delivered IT solutions must be scalable to ensure future enhancements can fulfil coming demands and requirements.</w:t>
      </w:r>
    </w:p>
    <w:p>
      <w:pPr>
        <w:numPr>
          <w:ilvl w:val="0"/>
          <w:numId w:val="1002"/>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 of maintainability is to be followed.</w:t>
      </w:r>
    </w:p>
    <w:p>
      <w:pPr>
        <w:numPr>
          <w:ilvl w:val="0"/>
          <w:numId w:val="1002"/>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2"/>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reproducibility"/>
    <w:p>
      <w:pPr>
        <w:pStyle w:val="Heading2"/>
      </w:pPr>
      <w:r>
        <w:t xml:space="preserve">4.1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3"/>
    <w:bookmarkStart w:id="24" w:name="reusability"/>
    <w:p>
      <w:pPr>
        <w:pStyle w:val="Heading2"/>
      </w:pPr>
      <w:r>
        <w:t xml:space="preserve">4.2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bookmarkEnd w:id="24"/>
    <w:bookmarkStart w:id="27" w:name="transparency"/>
    <w:p>
      <w:pPr>
        <w:pStyle w:val="Heading2"/>
      </w:pPr>
      <w:r>
        <w:t xml:space="preserve">4.3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including deployment and integration scripts of client specific IT solution is supplied as part of the deliverable and made publicly available under the EUPL-1.2</w:t>
            </w:r>
            <w:r>
              <w:rPr>
                <w:rStyle w:val="FootnoteReference"/>
              </w:rPr>
              <w:footnoteReference w:id="25"/>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CI/CD (Continuous Integration/Continuous Development), Docker recipes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scalability"/>
    <w:p>
      <w:pPr>
        <w:pStyle w:val="Heading2"/>
      </w:pPr>
      <w:r>
        <w:t xml:space="preserve">4.4 Scalability</w:t>
      </w:r>
    </w:p>
    <w:p>
      <w:pPr>
        <w:pStyle w:val="FirstParagraph"/>
      </w:pPr>
      <w:r>
        <w:t xml:space="preserve">The delivered IT Solutions must be scalable to ensure future enhancements and demands. Scalability in this sense covers both scalability in functionality as well as scalability in terms of being able to handle an increased load/traffic. To this end the following scalability principles apply</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microservices</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both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2:</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Dockerization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images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3:</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4:</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or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bookmarkEnd w:id="29"/>
    <w:bookmarkStart w:id="30" w:name="it-security"/>
    <w:p>
      <w:pPr>
        <w:pStyle w:val="Heading2"/>
      </w:pPr>
      <w:r>
        <w:t xml:space="preserve">4.6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bookmarkEnd w:id="30"/>
    <w:bookmarkStart w:id="31" w:name="resilience"/>
    <w:p>
      <w:pPr>
        <w:pStyle w:val="Heading2"/>
      </w:pPr>
      <w:r>
        <w:t xml:space="preserve">4.7 Resilience</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528BE83B" w:rsidR="00A607A6"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5868C29"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9F621B" w:rsidRPr="009F621B">
      <w:rPr>
        <w:rFonts w:ascii="Arial" w:hAnsi="Arial" w:cs="Arial"/>
        <w:b/>
        <w:bCs/>
      </w:rPr>
      <w:fldChar w:fldCharType="begin"/>
    </w:r>
    <w:r w:rsidR="009F621B" w:rsidRPr="009F621B">
      <w:rPr>
        <w:rFonts w:ascii="Arial" w:hAnsi="Arial" w:cs="Arial"/>
        <w:b/>
        <w:bCs/>
      </w:rPr>
      <w:instrText xml:space="preserve"> AUTHOR  \* MERGEFORMAT </w:instrText>
    </w:r>
    <w:r w:rsidR="009F621B" w:rsidRPr="009F621B">
      <w:rPr>
        <w:rFonts w:ascii="Arial" w:hAnsi="Arial" w:cs="Arial"/>
        <w:b/>
        <w:bCs/>
      </w:rPr>
      <w:fldChar w:fldCharType="separate"/>
    </w:r>
    <w:r w:rsidR="009F621B" w:rsidRPr="009F621B">
      <w:rPr>
        <w:rFonts w:ascii="Arial" w:hAnsi="Arial" w:cs="Arial"/>
        <w:b/>
        <w:bCs/>
      </w:rPr>
      <w:t>Author</w:t>
    </w:r>
    <w:r w:rsidR="009F621B" w:rsidRPr="009F621B">
      <w:rPr>
        <w:rFonts w:ascii="Arial" w:hAnsi="Arial" w:cs="Arial"/>
        <w:b/>
        <w:bCs/>
      </w:rPr>
      <w:fldChar w:fldCharType="end"/>
    </w:r>
  </w:p>
  <w:p w14:paraId="46CD34FF" w14:textId="5BA361C0" w:rsidR="00A607A6"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sidR="00A01A45">
      <w:rPr>
        <w:rStyle w:val="SubtleReference"/>
        <w:rFonts w:cs="Calibri"/>
      </w:rPr>
      <w:t xml:space="preserve"> </w:t>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4976F53A" w14:textId="3ED3BA6B" w:rsidR="00A607A6" w:rsidRDefault="00000000">
    <w:pPr>
      <w:rPr>
        <w:rStyle w:val="SubtleReference"/>
        <w:rFonts w:ascii="Calibri" w:hAnsi="Calibri" w:cs="Calibri"/>
      </w:rPr>
    </w:pPr>
    <w:r w:rsidRPr="00A01A45">
      <w:rPr>
        <w:rStyle w:val="SubtleReference"/>
        <w:rFonts w:ascii="Arial" w:hAnsi="Arial" w:cs="Arial"/>
      </w:rPr>
      <w:t>Doc. Version:</w:t>
    </w:r>
    <w:r>
      <w:rPr>
        <w:rStyle w:val="SubtleReference"/>
        <w:rFonts w:cs="Calibri"/>
      </w:rPr>
      <w:tab/>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European Union Public Licence - European Commission (europa.eu)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77BD6" w14:textId="77777777" w:rsidR="00A01A45" w:rsidRDefault="00A01A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4234C" w14:textId="77777777" w:rsidR="00A01A45" w:rsidRDefault="00A01A45">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6"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6" Target="https://commission.europa.eu/content/european-union-public-licence_en"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IV: IT Architecture Principles and Implementation Guidelines</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2025-02-23T19:18:47Z</dcterms:created>
  <dcterms:modified xsi:type="dcterms:W3CDTF">2025-02-23T19:18:47Z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2024-11-08</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vt:lpwstr>
  </property>
  <property fmtid="{D5CDD505-2E9C-101B-9397-08002B2CF9AE}" pid="13" name="sitemap">
    <vt:lpwstr>True</vt:lpwstr>
  </property>
  <property fmtid="{D5CDD505-2E9C-101B-9397-08002B2CF9AE}" pid="14" name="subtitle">
    <vt:lpwstr>Copernicus Land Monitoring Service</vt:lpwstr>
  </property>
  <property fmtid="{D5CDD505-2E9C-101B-9397-08002B2CF9AE}" pid="15" name="toc-location">
    <vt:lpwstr>before-body</vt:lpwstr>
  </property>
  <property fmtid="{D5CDD505-2E9C-101B-9397-08002B2CF9AE}" pid="16" name="toc-pagebreak">
    <vt:lpwstr>True</vt:lpwstr>
  </property>
  <property fmtid="{D5CDD505-2E9C-101B-9397-08002B2CF9AE}" pid="17" name="toc-title">
    <vt:lpwstr>Index</vt:lpwstr>
  </property>
  <property fmtid="{D5CDD505-2E9C-101B-9397-08002B2CF9AE}" pid="18" name="version">
    <vt:lpwstr>1.3</vt:lpwstr>
  </property>
</Properties>
</file>