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Override PartName="/word/media/image4.png" ContentType="image/pn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ANNEX</w:t>
      </w:r>
      <w:r>
        <w:t xml:space="preserve"> </w:t>
      </w:r>
      <w:r>
        <w:t xml:space="preserve">IV:</w:t>
      </w:r>
      <w:r>
        <w:t xml:space="preserve"> </w:t>
      </w:r>
      <w:r>
        <w:t xml:space="preserve">IT</w:t>
      </w:r>
      <w:r>
        <w:t xml:space="preserve"> </w:t>
      </w:r>
      <w:r>
        <w:t xml:space="preserve">Architecture</w:t>
      </w:r>
      <w:r>
        <w:t xml:space="preserve"> </w:t>
      </w:r>
      <w:r>
        <w:t xml:space="preserve">Principles</w:t>
      </w:r>
      <w:r>
        <w:t xml:space="preserve"> </w:t>
      </w:r>
      <w:r>
        <w:t xml:space="preserve">and</w:t>
      </w:r>
      <w:r>
        <w:t xml:space="preserve"> </w:t>
      </w:r>
      <w:r>
        <w:t xml:space="preserve">Implementation</w:t>
      </w:r>
      <w:r>
        <w:t xml:space="preserve"> </w:t>
      </w:r>
      <w:r>
        <w:t xml:space="preserve">Guidelines</w:t>
      </w:r>
    </w:p>
    <w:p>
      <w:pPr>
        <w:pStyle w:val="Subtitle"/>
      </w:pPr>
      <w:r>
        <w:t xml:space="preserve">Copernicus</w:t>
      </w:r>
      <w:r>
        <w:t xml:space="preserve"> </w:t>
      </w:r>
      <w:r>
        <w:t xml:space="preserve">Land</w:t>
      </w:r>
      <w:r>
        <w:t xml:space="preserve"> </w:t>
      </w:r>
      <w:r>
        <w:t xml:space="preserve">Monitoring</w:t>
      </w:r>
      <w:r>
        <w:t xml:space="preserve"> </w:t>
      </w:r>
      <w:r>
        <w:t xml:space="preserve">Service</w:t>
      </w:r>
    </w:p>
    <w:p>
      <w:pPr>
        <w:pStyle w:val="Author"/>
      </w:pPr>
      <w:r>
        <w:t xml:space="preserve">European</w:t>
      </w:r>
      <w:r>
        <w:t xml:space="preserve"> </w:t>
      </w:r>
      <w:r>
        <w:t xml:space="preserve">Environment</w:t>
      </w:r>
      <w:r>
        <w:t xml:space="preserve"> </w:t>
      </w:r>
      <w:r>
        <w:t xml:space="preserve">Agency</w:t>
      </w:r>
      <w:r>
        <w:t xml:space="preserve"> </w:t>
      </w:r>
      <w:r>
        <w:t xml:space="preserve">(EEA)</w:t>
      </w:r>
    </w:p>
    <w:p>
      <w:pPr>
        <w:pStyle w:val="Date"/>
      </w:pPr>
      <w:r>
        <w:t xml:space="preserve">2024-11-08</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p>
      <w:r>
        <w:br w:type="page"/>
      </w:r>
    </w:p>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numPr>
          <w:ilvl w:val="0"/>
          <w:numId w:val="1001"/>
        </w:numPr>
      </w:pPr>
      <w:r>
        <w:rPr>
          <w:bCs/>
          <w:b/>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numPr>
          <w:ilvl w:val="0"/>
          <w:numId w:val="1001"/>
        </w:numPr>
      </w:pPr>
      <w:r>
        <w:rPr>
          <w:bCs/>
          <w:b/>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numPr>
          <w:ilvl w:val="0"/>
          <w:numId w:val="1001"/>
        </w:numPr>
      </w:pPr>
      <w:r>
        <w:rPr>
          <w:bCs/>
          <w:b/>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numPr>
          <w:ilvl w:val="0"/>
          <w:numId w:val="1001"/>
        </w:numPr>
      </w:pPr>
      <w:r>
        <w:rPr>
          <w:bCs/>
          <w:b/>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numPr>
          <w:ilvl w:val="0"/>
          <w:numId w:val="1001"/>
        </w:numPr>
      </w:pPr>
      <w:r>
        <w:rPr>
          <w:bCs/>
          <w:b/>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numPr>
          <w:ilvl w:val="0"/>
          <w:numId w:val="1001"/>
        </w:numPr>
      </w:pPr>
      <w:r>
        <w:rPr>
          <w:bCs/>
          <w:b/>
        </w:rPr>
        <w:t xml:space="preserve">Deliverables</w:t>
      </w:r>
      <w:r>
        <w:t xml:space="preserve"> </w:t>
      </w:r>
      <w:r>
        <w:t xml:space="preserve">– specific outputs, products, or results provided as part of the contract or a contractual agreement.</w:t>
      </w:r>
    </w:p>
    <w:p>
      <w:pPr>
        <w:numPr>
          <w:ilvl w:val="0"/>
          <w:numId w:val="1001"/>
        </w:numPr>
      </w:pPr>
      <w:r>
        <w:rPr>
          <w:bCs/>
          <w:b/>
        </w:rPr>
        <w:t xml:space="preserve">End of life (EOL)</w:t>
      </w:r>
      <w:r>
        <w:t xml:space="preserve"> </w:t>
      </w:r>
      <w:r>
        <w:t xml:space="preserve">– refers to the date after which a product will no longer be sold or renewed (though still might receive some form of support, such as security patches).</w:t>
      </w:r>
    </w:p>
    <w:p>
      <w:pPr>
        <w:numPr>
          <w:ilvl w:val="0"/>
          <w:numId w:val="1001"/>
        </w:numPr>
      </w:pPr>
      <w:r>
        <w:rPr>
          <w:bCs/>
          <w:b/>
        </w:rPr>
        <w:t xml:space="preserve">End of support (EOS)</w:t>
      </w:r>
      <w:r>
        <w:t xml:space="preserve"> </w:t>
      </w:r>
      <w:r>
        <w:t xml:space="preserve">– refers to the date of complete cessation of all support services for the product, including new patches, updates or fixes.</w:t>
      </w:r>
    </w:p>
    <w:p>
      <w:pPr>
        <w:numPr>
          <w:ilvl w:val="0"/>
          <w:numId w:val="1001"/>
        </w:numPr>
      </w:pPr>
      <w:r>
        <w:rPr>
          <w:bCs/>
          <w:b/>
        </w:rPr>
        <w:t xml:space="preserve">Infrastructure-as-a-code</w:t>
      </w:r>
      <w:r>
        <w:t xml:space="preserve"> </w:t>
      </w:r>
      <w:r>
        <w:t xml:space="preserve">– is an IT practice that involves managing and provisioning computing infrastructure through machine-readable definition files, rather than physical hardware configuration or interactive configuration tools.</w:t>
      </w:r>
    </w:p>
    <w:p>
      <w:pPr>
        <w:numPr>
          <w:ilvl w:val="0"/>
          <w:numId w:val="1001"/>
        </w:numPr>
      </w:pPr>
      <w:r>
        <w:rPr>
          <w:bCs/>
          <w:b/>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numPr>
          <w:ilvl w:val="0"/>
          <w:numId w:val="1001"/>
        </w:numPr>
      </w:pPr>
      <w:r>
        <w:rPr>
          <w:bCs/>
          <w:b/>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numPr>
          <w:ilvl w:val="0"/>
          <w:numId w:val="1001"/>
        </w:numPr>
      </w:pPr>
      <w:r>
        <w:rPr>
          <w:bCs/>
          <w:b/>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numPr>
          <w:ilvl w:val="0"/>
          <w:numId w:val="1001"/>
        </w:numPr>
      </w:pPr>
      <w:r>
        <w:rPr>
          <w:bCs/>
          <w:b/>
        </w:rPr>
        <w:t xml:space="preserve">Open-ended</w:t>
      </w:r>
      <w:r>
        <w:t xml:space="preserve"> </w:t>
      </w:r>
      <w:r>
        <w:t xml:space="preserve">– refers to components or features that are flexible, adaptable, and capable of evolving over time to meet a wide range of needs and requirements.</w:t>
      </w:r>
    </w:p>
    <w:p>
      <w:pPr>
        <w:numPr>
          <w:ilvl w:val="0"/>
          <w:numId w:val="1001"/>
        </w:numPr>
      </w:pPr>
      <w:r>
        <w:rPr>
          <w:bCs/>
          <w:b/>
        </w:rPr>
        <w:t xml:space="preserve">Pre-processing</w:t>
      </w:r>
      <w:r>
        <w:t xml:space="preserve"> </w:t>
      </w:r>
      <w:r>
        <w:t xml:space="preserve">- refers to the series of operations performed on raw data to prepare it for further analysis and processing.</w:t>
      </w:r>
    </w:p>
    <w:p>
      <w:pPr>
        <w:numPr>
          <w:ilvl w:val="0"/>
          <w:numId w:val="1001"/>
        </w:numPr>
      </w:pPr>
      <w:r>
        <w:rPr>
          <w:bCs/>
          <w:b/>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numPr>
          <w:ilvl w:val="0"/>
          <w:numId w:val="1001"/>
        </w:numPr>
      </w:pPr>
      <w:r>
        <w:rPr>
          <w:bCs/>
          <w:b/>
        </w:rPr>
        <w:t xml:space="preserve">Software development tools</w:t>
      </w:r>
      <w:r>
        <w:t xml:space="preserve"> </w:t>
      </w:r>
      <w:r>
        <w:t xml:space="preserve">– applications, frameworks, and utilities that software developers use to create, debug, maintain, or support software.</w:t>
      </w:r>
    </w:p>
    <w:p>
      <w:pPr>
        <w:numPr>
          <w:ilvl w:val="0"/>
          <w:numId w:val="1001"/>
        </w:numPr>
      </w:pPr>
      <w:r>
        <w:rPr>
          <w:bCs/>
          <w:b/>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numPr>
          <w:ilvl w:val="0"/>
          <w:numId w:val="1001"/>
        </w:numPr>
      </w:pPr>
      <w:r>
        <w:rPr>
          <w:bCs/>
          <w:b/>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numPr>
          <w:ilvl w:val="0"/>
          <w:numId w:val="1001"/>
        </w:numPr>
      </w:pPr>
      <w:r>
        <w:rPr>
          <w:bCs/>
          <w:b/>
        </w:rPr>
        <w:t xml:space="preserve">Workflow</w:t>
      </w:r>
      <w:r>
        <w:t xml:space="preserve"> </w:t>
      </w:r>
      <w:r>
        <w:t xml:space="preserve">– systematic sequence of processes and activities.</w:t>
      </w:r>
    </w:p>
    <w:p>
      <w:r>
        <w:br w:type="page"/>
      </w:r>
    </w:p>
    <w:bookmarkEnd w:id="22"/>
    <w:bookmarkStart w:id="32" w:name="principles"/>
    <w:p>
      <w:pPr>
        <w:pStyle w:val="Heading1"/>
      </w:pPr>
      <w:r>
        <w:t xml:space="preserve">4. Principles</w:t>
      </w:r>
    </w:p>
    <w:p>
      <w:pPr>
        <w:pStyle w:val="FirstParagraph"/>
      </w:pPr>
      <w:r>
        <w:t xml:space="preserve">The principles are grouped into 6 overarching IT architectural themes:</w:t>
      </w:r>
    </w:p>
    <w:p>
      <w:pPr>
        <w:numPr>
          <w:ilvl w:val="0"/>
          <w:numId w:val="1002"/>
        </w:numPr>
      </w:pPr>
      <w:r>
        <w:rPr>
          <w:bCs/>
          <w:b/>
        </w:rPr>
        <w:t xml:space="preserve">Reproducibility</w:t>
      </w:r>
      <w:r>
        <w:t xml:space="preserve"> </w:t>
      </w:r>
      <w:r>
        <w:t xml:space="preserve">- the overarching goal is to ensure that any deliverable in the form of an IT solution may be reproduced given sufficient time.</w:t>
      </w:r>
    </w:p>
    <w:p>
      <w:pPr>
        <w:numPr>
          <w:ilvl w:val="0"/>
          <w:numId w:val="1002"/>
        </w:numPr>
      </w:pPr>
      <w:r>
        <w:rPr>
          <w:bCs/>
          <w:b/>
        </w:rPr>
        <w:t xml:space="preserve">Reusability</w:t>
      </w:r>
      <w:r>
        <w:t xml:space="preserve"> </w:t>
      </w:r>
      <w:r>
        <w:t xml:space="preserve">- the services and products provided through the EEA CLMS are to be reused by the end users as the foundation of their further work.</w:t>
      </w:r>
    </w:p>
    <w:p>
      <w:pPr>
        <w:numPr>
          <w:ilvl w:val="0"/>
          <w:numId w:val="1002"/>
        </w:numPr>
      </w:pPr>
      <w:r>
        <w:rPr>
          <w:bCs/>
          <w:b/>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2"/>
        </w:numPr>
      </w:pPr>
      <w:r>
        <w:rPr>
          <w:bCs/>
          <w:b/>
        </w:rPr>
        <w:t xml:space="preserve">Scalability</w:t>
      </w:r>
      <w:r>
        <w:t xml:space="preserve"> </w:t>
      </w:r>
      <w:r>
        <w:t xml:space="preserve">- the delivered IT solutions must be scalable to ensure future enhancements can fulfil coming demands and requirements.</w:t>
      </w:r>
    </w:p>
    <w:p>
      <w:pPr>
        <w:numPr>
          <w:ilvl w:val="0"/>
          <w:numId w:val="1002"/>
        </w:numPr>
      </w:pPr>
      <w:r>
        <w:rPr>
          <w:bCs/>
          <w:b/>
        </w:rPr>
        <w:t xml:space="preserve">Maintainability</w:t>
      </w:r>
      <w:r>
        <w:t xml:space="preserve"> </w:t>
      </w:r>
      <w:r>
        <w:t xml:space="preserve">- the EEA aims in the CLMS program to be able to provide updated products when new data becomes available e.g. on yearly basis. To reduce the time to market the principle of maintainability is to be followed.</w:t>
      </w:r>
    </w:p>
    <w:p>
      <w:pPr>
        <w:numPr>
          <w:ilvl w:val="0"/>
          <w:numId w:val="1002"/>
        </w:numPr>
      </w:pPr>
      <w:r>
        <w:rPr>
          <w:bCs/>
          <w:b/>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2"/>
        </w:numPr>
      </w:pPr>
      <w:r>
        <w:rPr>
          <w:bCs/>
          <w:b/>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reproducibility"/>
    <w:p>
      <w:pPr>
        <w:pStyle w:val="Heading2"/>
      </w:pPr>
      <w:r>
        <w:t xml:space="preserve">4.1 Reproducibility</w:t>
      </w:r>
    </w:p>
    <w:p>
      <w:pPr>
        <w:pStyle w:val="FirstParagraph"/>
      </w:pPr>
      <w:r>
        <w:t xml:space="preserve">The overarching principle of reproducibility is further unfolded below in the following sub-principles:</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1:</w:t>
            </w:r>
          </w:p>
        </w:tc>
        <w:tc>
          <w:tcPr/>
          <w:p>
            <w:pPr>
              <w:pStyle w:val="Compact"/>
              <w:jc w:val="left"/>
            </w:pPr>
            <w:r>
              <w:rPr>
                <w:bCs/>
                <w:b/>
              </w:rPr>
              <w:t xml:space="preserve">Description of workflows must be provided</w:t>
            </w:r>
          </w:p>
        </w:tc>
      </w:tr>
      <w:tr>
        <w:tc>
          <w:tcPr/>
          <w:p>
            <w:pPr>
              <w:pStyle w:val="Compact"/>
              <w:jc w:val="right"/>
            </w:pPr>
            <w:r>
              <w:rPr>
                <w:bCs/>
                <w:b/>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Cs/>
                <w:b/>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Cs/>
                <w:b/>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Cs/>
                <w:b/>
              </w:rPr>
              <w:t xml:space="preserve">Example:</w:t>
            </w:r>
          </w:p>
        </w:tc>
        <w:tc>
          <w:tcPr/>
          <w:p>
            <w:pPr>
              <w:pStyle w:val="Compact"/>
              <w:jc w:val="left"/>
            </w:pPr>
            <w:r>
              <w:rPr>
                <w:iCs/>
                <w:i/>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2:</w:t>
            </w:r>
          </w:p>
        </w:tc>
        <w:tc>
          <w:tcPr/>
          <w:p>
            <w:pPr>
              <w:pStyle w:val="Compact"/>
              <w:jc w:val="left"/>
            </w:pPr>
            <w:r>
              <w:rPr>
                <w:bCs/>
                <w:b/>
              </w:rPr>
              <w:t xml:space="preserve">Data sources to be supplied with deliverables</w:t>
            </w:r>
          </w:p>
        </w:tc>
      </w:tr>
      <w:tr>
        <w:tc>
          <w:tcPr/>
          <w:p>
            <w:pPr>
              <w:pStyle w:val="Compact"/>
              <w:jc w:val="right"/>
            </w:pPr>
            <w:r>
              <w:rPr>
                <w:bCs/>
                <w:b/>
              </w:rPr>
              <w:t xml:space="preserve">What:</w:t>
            </w:r>
          </w:p>
        </w:tc>
        <w:tc>
          <w:tcPr/>
          <w:p>
            <w:pPr>
              <w:pStyle w:val="Compact"/>
              <w:jc w:val="left"/>
            </w:pPr>
            <w:r>
              <w:t xml:space="preserve">IT solutions which utilize data sources must supply the data sources</w:t>
            </w:r>
          </w:p>
        </w:tc>
      </w:tr>
      <w:tr>
        <w:tc>
          <w:tcPr/>
          <w:p>
            <w:pPr>
              <w:pStyle w:val="Compact"/>
              <w:jc w:val="right"/>
            </w:pPr>
            <w:r>
              <w:rPr>
                <w:bCs/>
                <w:b/>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Cs/>
                <w:b/>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3:</w:t>
            </w:r>
          </w:p>
        </w:tc>
        <w:tc>
          <w:tcPr/>
          <w:p>
            <w:pPr>
              <w:pStyle w:val="Compact"/>
              <w:jc w:val="left"/>
            </w:pPr>
            <w:r>
              <w:rPr>
                <w:bCs/>
                <w:b/>
              </w:rPr>
              <w:t xml:space="preserve">List of software used in development of IT solution to be provided</w:t>
            </w:r>
          </w:p>
        </w:tc>
      </w:tr>
      <w:tr>
        <w:tc>
          <w:tcPr/>
          <w:p>
            <w:pPr>
              <w:pStyle w:val="Compact"/>
              <w:jc w:val="right"/>
            </w:pPr>
            <w:r>
              <w:rPr>
                <w:bCs/>
                <w:b/>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Cs/>
                <w:b/>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Cs/>
                <w:b/>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Cs/>
                <w:b/>
              </w:rPr>
              <w:t xml:space="preserve">Example:</w:t>
            </w:r>
          </w:p>
        </w:tc>
        <w:tc>
          <w:tcPr/>
          <w:p>
            <w:pPr>
              <w:pStyle w:val="Compact"/>
              <w:jc w:val="left"/>
            </w:pPr>
            <w:r>
              <w:rPr>
                <w:iCs/>
                <w:i/>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4:</w:t>
            </w:r>
          </w:p>
        </w:tc>
        <w:tc>
          <w:tcPr/>
          <w:p>
            <w:pPr>
              <w:pStyle w:val="Compact"/>
              <w:jc w:val="left"/>
            </w:pPr>
            <w:r>
              <w:rPr>
                <w:bCs/>
                <w:b/>
              </w:rPr>
              <w:t xml:space="preserve">Automation tool/scripts used in the production of the IT solution must be provided</w:t>
            </w:r>
          </w:p>
        </w:tc>
      </w:tr>
      <w:tr>
        <w:tc>
          <w:tcPr/>
          <w:p>
            <w:pPr>
              <w:pStyle w:val="Compact"/>
              <w:jc w:val="right"/>
            </w:pPr>
            <w:r>
              <w:rPr>
                <w:bCs/>
                <w:b/>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Cs/>
                <w:b/>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Cs/>
                <w:b/>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Cs/>
                <w:b/>
              </w:rPr>
              <w:t xml:space="preserve">Example:</w:t>
            </w:r>
          </w:p>
        </w:tc>
        <w:tc>
          <w:tcPr/>
          <w:p>
            <w:pPr>
              <w:pStyle w:val="Compact"/>
              <w:jc w:val="left"/>
            </w:pPr>
            <w:r>
              <w:rPr>
                <w:iCs/>
                <w:i/>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Reproducibility 5:</w:t>
            </w:r>
          </w:p>
        </w:tc>
        <w:tc>
          <w:tcPr/>
          <w:p>
            <w:pPr>
              <w:pStyle w:val="Compact"/>
              <w:jc w:val="left"/>
            </w:pPr>
            <w:r>
              <w:rPr>
                <w:bCs/>
                <w:b/>
              </w:rPr>
              <w:t xml:space="preserve">If a solution includes outcomes of pre-executed algorithms the prerequisites for running the algorithms must be provided</w:t>
            </w:r>
          </w:p>
        </w:tc>
      </w:tr>
      <w:tr>
        <w:tc>
          <w:tcPr/>
          <w:p>
            <w:pPr>
              <w:pStyle w:val="Compact"/>
              <w:jc w:val="right"/>
            </w:pPr>
            <w:r>
              <w:rPr>
                <w:bCs/>
                <w:b/>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Cs/>
                <w:b/>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Cs/>
                <w:b/>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Cs/>
                <w:b/>
              </w:rPr>
              <w:t xml:space="preserve">Example:</w:t>
            </w:r>
          </w:p>
        </w:tc>
        <w:tc>
          <w:tcPr/>
          <w:p>
            <w:pPr>
              <w:pStyle w:val="Compact"/>
              <w:jc w:val="left"/>
            </w:pPr>
            <w:r>
              <w:rPr>
                <w:iCs/>
                <w:i/>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3"/>
    <w:bookmarkStart w:id="24" w:name="reusability"/>
    <w:p>
      <w:pPr>
        <w:pStyle w:val="Heading2"/>
      </w:pPr>
      <w:r>
        <w:t xml:space="preserve">4.2 Reusability</w:t>
      </w:r>
    </w:p>
    <w:p>
      <w:pPr>
        <w:pStyle w:val="FirstParagraph"/>
      </w:pPr>
      <w:r>
        <w:t xml:space="preserve">The principle of reusability is detailed in the following sub-principles:</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1:</w:t>
            </w:r>
          </w:p>
        </w:tc>
        <w:tc>
          <w:tcPr/>
          <w:p>
            <w:pPr>
              <w:pStyle w:val="Compact"/>
              <w:jc w:val="left"/>
            </w:pPr>
            <w:r>
              <w:rPr>
                <w:bCs/>
                <w:b/>
              </w:rPr>
              <w:t xml:space="preserve">IT solutions should be open-ended equipped with APIs</w:t>
            </w:r>
          </w:p>
        </w:tc>
      </w:tr>
      <w:tr>
        <w:tc>
          <w:tcPr/>
          <w:p>
            <w:pPr>
              <w:pStyle w:val="Compact"/>
              <w:jc w:val="right"/>
            </w:pPr>
            <w:r>
              <w:rPr>
                <w:bCs/>
                <w:b/>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Cs/>
                <w:b/>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t>
            </w:r>
            <w:r>
              <w:t xml:space="preserve">whole is greater than the sum</w:t>
            </w:r>
            <w:r>
              <w:t xml:space="preserve">”</w:t>
            </w:r>
          </w:p>
        </w:tc>
      </w:tr>
      <w:tr>
        <w:tc>
          <w:tcPr/>
          <w:p>
            <w:pPr>
              <w:pStyle w:val="Compact"/>
              <w:jc w:val="right"/>
            </w:pPr>
            <w:r>
              <w:rPr>
                <w:bCs/>
                <w:b/>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Cs/>
                <w:b/>
              </w:rPr>
              <w:t xml:space="preserve">Example:</w:t>
            </w:r>
          </w:p>
        </w:tc>
        <w:tc>
          <w:tcPr/>
          <w:p>
            <w:pPr>
              <w:pStyle w:val="Compact"/>
              <w:jc w:val="left"/>
            </w:pPr>
            <w:r>
              <w:rPr>
                <w:iCs/>
                <w:i/>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2:</w:t>
            </w:r>
          </w:p>
        </w:tc>
        <w:tc>
          <w:tcPr/>
          <w:p>
            <w:pPr>
              <w:pStyle w:val="Compact"/>
              <w:jc w:val="left"/>
            </w:pPr>
            <w:r>
              <w:rPr>
                <w:bCs/>
                <w:b/>
              </w:rPr>
              <w:t xml:space="preserve">Scripts used in production must be delivered as part of IT solutions</w:t>
            </w:r>
          </w:p>
        </w:tc>
      </w:tr>
      <w:tr>
        <w:tc>
          <w:tcPr/>
          <w:p>
            <w:pPr>
              <w:pStyle w:val="Compact"/>
              <w:jc w:val="right"/>
            </w:pPr>
            <w:r>
              <w:rPr>
                <w:bCs/>
                <w:b/>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Cs/>
                <w:b/>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Cs/>
                <w:b/>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Cs/>
                <w:b/>
              </w:rPr>
              <w:t xml:space="preserve">Example:</w:t>
            </w:r>
          </w:p>
        </w:tc>
        <w:tc>
          <w:tcPr/>
          <w:p>
            <w:pPr>
              <w:pStyle w:val="Compact"/>
              <w:jc w:val="left"/>
            </w:pPr>
            <w:r>
              <w:rPr>
                <w:iCs/>
                <w:i/>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310"/>
        <w:gridCol w:w="5610"/>
      </w:tblGrid>
      <w:tr>
        <w:trPr>
          <w:tblHeader w:val="true"/>
        </w:trPr>
        <w:tc>
          <w:tcPr/>
          <w:p>
            <w:pPr>
              <w:pStyle w:val="Compact"/>
              <w:jc w:val="right"/>
            </w:pPr>
            <w:r>
              <w:rPr>
                <w:bCs/>
                <w:b/>
              </w:rPr>
              <w:t xml:space="preserve">Reusability 3:</w:t>
            </w:r>
          </w:p>
        </w:tc>
        <w:tc>
          <w:tcPr/>
          <w:p>
            <w:pPr>
              <w:pStyle w:val="Compact"/>
              <w:jc w:val="left"/>
            </w:pPr>
            <w:r>
              <w:rPr>
                <w:bCs/>
                <w:b/>
              </w:rPr>
              <w:t xml:space="preserve">Documentation of IT solutions are to be provided</w:t>
            </w:r>
          </w:p>
        </w:tc>
      </w:tr>
      <w:tr>
        <w:tc>
          <w:tcPr/>
          <w:p>
            <w:pPr>
              <w:pStyle w:val="Compact"/>
              <w:jc w:val="right"/>
            </w:pPr>
            <w:r>
              <w:rPr>
                <w:bCs/>
                <w:b/>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Cs/>
                <w:b/>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Cs/>
                <w:b/>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Cs/>
                <w:b/>
              </w:rPr>
              <w:t xml:space="preserve">Example:</w:t>
            </w:r>
          </w:p>
        </w:tc>
        <w:tc>
          <w:tcPr/>
          <w:p>
            <w:pPr>
              <w:pStyle w:val="Compact"/>
              <w:jc w:val="left"/>
            </w:pPr>
            <w:r>
              <w:rPr>
                <w:iCs/>
                <w:i/>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bookmarkEnd w:id="24"/>
    <w:bookmarkStart w:id="27" w:name="transparency"/>
    <w:p>
      <w:pPr>
        <w:pStyle w:val="Heading2"/>
      </w:pPr>
      <w:r>
        <w:t xml:space="preserve">4.3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rPr>
                <w:bCs/>
                <w:b/>
              </w:rPr>
              <w:t xml:space="preserve">Transparency 1:</w:t>
            </w:r>
          </w:p>
        </w:tc>
        <w:tc>
          <w:tcPr/>
          <w:p>
            <w:pPr>
              <w:pStyle w:val="Compact"/>
              <w:jc w:val="left"/>
            </w:pPr>
            <w:r>
              <w:rPr>
                <w:bCs/>
                <w:b/>
              </w:rPr>
              <w:t xml:space="preserve">Source code of client specific software to be supplied with IT solution</w:t>
            </w:r>
          </w:p>
        </w:tc>
      </w:tr>
      <w:tr>
        <w:tc>
          <w:tcPr/>
          <w:p>
            <w:pPr>
              <w:pStyle w:val="Compact"/>
              <w:jc w:val="right"/>
            </w:pPr>
            <w:r>
              <w:rPr>
                <w:bCs/>
                <w:b/>
              </w:rPr>
              <w:t xml:space="preserve">What:</w:t>
            </w:r>
          </w:p>
        </w:tc>
        <w:tc>
          <w:tcPr/>
          <w:p>
            <w:pPr>
              <w:pStyle w:val="Compact"/>
              <w:jc w:val="left"/>
            </w:pPr>
            <w:r>
              <w:t xml:space="preserve">Source code including deployment and integration scripts of client specific IT solution is supplied as part of the deliverable and made publicly available under the EUPL-1.2</w:t>
            </w:r>
            <w:r>
              <w:rPr>
                <w:rStyle w:val="FootnoteReference"/>
              </w:rPr>
              <w:footnoteReference w:id="25"/>
            </w:r>
            <w:r>
              <w:t xml:space="preserve"> </w:t>
            </w:r>
            <w:r>
              <w:t xml:space="preserve">license</w:t>
            </w:r>
          </w:p>
        </w:tc>
      </w:tr>
      <w:tr>
        <w:tc>
          <w:tcPr/>
          <w:p>
            <w:pPr>
              <w:pStyle w:val="Compact"/>
              <w:jc w:val="right"/>
            </w:pPr>
            <w:r>
              <w:rPr>
                <w:bCs/>
                <w:b/>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Cs/>
                <w:b/>
              </w:rPr>
              <w:t xml:space="preserve">Consequence:</w:t>
            </w:r>
          </w:p>
        </w:tc>
        <w:tc>
          <w:tcPr/>
          <w:p>
            <w:pPr>
              <w:pStyle w:val="Compact"/>
              <w:jc w:val="left"/>
            </w:pPr>
            <w:r>
              <w:t xml:space="preserve">Source code of client specific software must be delivered with IT solution. The source code shall include CI/CD (Continuous Integration/Continuous Development), Docker recipes and be published under the EUPL-1.2. license</w:t>
            </w:r>
          </w:p>
        </w:tc>
      </w:tr>
      <w:tr>
        <w:tc>
          <w:tcPr/>
          <w:p>
            <w:pPr>
              <w:pStyle w:val="Compact"/>
              <w:jc w:val="right"/>
            </w:pPr>
            <w:r>
              <w:rPr>
                <w:bCs/>
                <w:b/>
              </w:rPr>
              <w:t xml:space="preserve">Example:</w:t>
            </w:r>
          </w:p>
        </w:tc>
        <w:tc>
          <w:tcPr/>
          <w:p>
            <w:pPr>
              <w:pStyle w:val="Compact"/>
              <w:jc w:val="left"/>
            </w:pPr>
            <w:r>
              <w:rPr>
                <w:iCs/>
                <w:i/>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2:</w:t>
            </w:r>
          </w:p>
        </w:tc>
        <w:tc>
          <w:tcPr/>
          <w:p>
            <w:pPr>
              <w:pStyle w:val="Compact"/>
              <w:jc w:val="left"/>
            </w:pPr>
            <w:r>
              <w:rPr>
                <w:bCs/>
                <w:b/>
              </w:rPr>
              <w:t xml:space="preserve">Inline documentation of the source code</w:t>
            </w:r>
          </w:p>
        </w:tc>
      </w:tr>
      <w:tr>
        <w:tc>
          <w:tcPr/>
          <w:p>
            <w:pPr>
              <w:pStyle w:val="Compact"/>
              <w:jc w:val="right"/>
            </w:pPr>
            <w:r>
              <w:rPr>
                <w:bCs/>
                <w:b/>
              </w:rPr>
              <w:t xml:space="preserve">What:</w:t>
            </w:r>
          </w:p>
        </w:tc>
        <w:tc>
          <w:tcPr/>
          <w:p>
            <w:pPr>
              <w:pStyle w:val="Compact"/>
              <w:jc w:val="left"/>
            </w:pPr>
            <w:r>
              <w:t xml:space="preserve">Source code of client specific IT solution must be documented in-line</w:t>
            </w:r>
          </w:p>
        </w:tc>
      </w:tr>
      <w:tr>
        <w:tc>
          <w:tcPr/>
          <w:p>
            <w:pPr>
              <w:pStyle w:val="Compact"/>
              <w:jc w:val="right"/>
            </w:pPr>
            <w:r>
              <w:rPr>
                <w:bCs/>
                <w:b/>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Cs/>
                <w:b/>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Cs/>
                <w:b/>
              </w:rPr>
              <w:t xml:space="preserve">Example:</w:t>
            </w:r>
          </w:p>
        </w:tc>
        <w:tc>
          <w:tcPr/>
          <w:p>
            <w:pPr>
              <w:pStyle w:val="Compact"/>
              <w:jc w:val="left"/>
            </w:pPr>
            <w:r>
              <w:rPr>
                <w:iCs/>
                <w:i/>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Transparency 3:</w:t>
            </w:r>
          </w:p>
        </w:tc>
        <w:tc>
          <w:tcPr/>
          <w:p>
            <w:pPr>
              <w:pStyle w:val="Compact"/>
              <w:jc w:val="left"/>
            </w:pPr>
            <w:r>
              <w:rPr>
                <w:bCs/>
                <w:b/>
              </w:rPr>
              <w:t xml:space="preserve">Commercial software used in the production/development must be attainable by the EEA or a third-party provider</w:t>
            </w:r>
          </w:p>
        </w:tc>
      </w:tr>
      <w:tr>
        <w:tc>
          <w:tcPr/>
          <w:p>
            <w:pPr>
              <w:pStyle w:val="Compact"/>
              <w:jc w:val="right"/>
            </w:pPr>
            <w:r>
              <w:rPr>
                <w:bCs/>
                <w:b/>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Cs/>
                <w:b/>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Cs/>
                <w:b/>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Cs/>
                <w:b/>
              </w:rPr>
              <w:t xml:space="preserve">Example:</w:t>
            </w:r>
          </w:p>
        </w:tc>
        <w:tc>
          <w:tcPr/>
          <w:p>
            <w:pPr>
              <w:pStyle w:val="Compact"/>
              <w:jc w:val="left"/>
            </w:pPr>
            <w:r>
              <w:rPr>
                <w:iCs/>
                <w:i/>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scalability"/>
    <w:p>
      <w:pPr>
        <w:pStyle w:val="Heading2"/>
      </w:pPr>
      <w:r>
        <w:t xml:space="preserve">4.4 Scalability</w:t>
      </w:r>
    </w:p>
    <w:p>
      <w:pPr>
        <w:pStyle w:val="FirstParagraph"/>
      </w:pPr>
      <w:r>
        <w:t xml:space="preserve">The delivered IT Solutions must be scalable to ensure future enhancements and demands. Scalability in this sense covers both scalability in functionality as well as scalability in terms of being able to handle an increased load/traffic. To this end the following scalability principles apply</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1:</w:t>
            </w:r>
          </w:p>
        </w:tc>
        <w:tc>
          <w:tcPr/>
          <w:p>
            <w:pPr>
              <w:pStyle w:val="Compact"/>
              <w:jc w:val="left"/>
            </w:pPr>
            <w:r>
              <w:rPr>
                <w:bCs/>
                <w:b/>
              </w:rPr>
              <w:t xml:space="preserve">Client specific IT solutions should have a modular structure</w:t>
            </w:r>
          </w:p>
        </w:tc>
      </w:tr>
      <w:tr>
        <w:tc>
          <w:tcPr/>
          <w:p>
            <w:pPr>
              <w:pStyle w:val="Compact"/>
              <w:jc w:val="right"/>
            </w:pPr>
            <w:r>
              <w:rPr>
                <w:bCs/>
                <w:b/>
              </w:rPr>
              <w:t xml:space="preserve">What:</w:t>
            </w:r>
          </w:p>
        </w:tc>
        <w:tc>
          <w:tcPr/>
          <w:p>
            <w:pPr>
              <w:pStyle w:val="Compact"/>
              <w:jc w:val="left"/>
            </w:pPr>
            <w:r>
              <w:t xml:space="preserve">Modular structure of client specific IT solutions is a requirement. This may be achieved using e.g. microservices</w:t>
            </w:r>
          </w:p>
        </w:tc>
      </w:tr>
      <w:tr>
        <w:tc>
          <w:tcPr/>
          <w:p>
            <w:pPr>
              <w:pStyle w:val="Compact"/>
              <w:jc w:val="right"/>
            </w:pPr>
            <w:r>
              <w:rPr>
                <w:bCs/>
                <w:b/>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w:t>
            </w:r>
          </w:p>
        </w:tc>
      </w:tr>
      <w:tr>
        <w:tc>
          <w:tcPr/>
          <w:p>
            <w:pPr>
              <w:pStyle w:val="Compact"/>
              <w:jc w:val="right"/>
            </w:pPr>
            <w:r>
              <w:rPr>
                <w:bCs/>
                <w:b/>
              </w:rPr>
              <w:t xml:space="preserve">Consequence:</w:t>
            </w:r>
          </w:p>
        </w:tc>
        <w:tc>
          <w:tcPr/>
          <w:p>
            <w:pPr>
              <w:pStyle w:val="Compact"/>
              <w:jc w:val="left"/>
            </w:pPr>
            <w:r>
              <w:t xml:space="preserve">Modular architecture of IT solutions is a requisite</w:t>
            </w:r>
          </w:p>
        </w:tc>
      </w:tr>
      <w:tr>
        <w:tc>
          <w:tcPr/>
          <w:p>
            <w:pPr>
              <w:pStyle w:val="Compact"/>
              <w:jc w:val="right"/>
            </w:pPr>
            <w:r>
              <w:rPr>
                <w:bCs/>
                <w:b/>
              </w:rPr>
              <w:t xml:space="preserve">Example:</w:t>
            </w:r>
          </w:p>
        </w:tc>
        <w:tc>
          <w:tcPr/>
          <w:p>
            <w:pPr>
              <w:pStyle w:val="Compact"/>
              <w:jc w:val="left"/>
            </w:pPr>
            <w:r>
              <w:rPr>
                <w:iCs/>
                <w:i/>
              </w:rPr>
              <w:t xml:space="preserve">If the client specific IT solution has, for Example, grown its user base since the launch of the solution, then scaling up shall be possible at any time – both vertically (more CPUs, RAM) and horizontally (more VMs)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Scalability 2:</w:t>
            </w:r>
          </w:p>
        </w:tc>
        <w:tc>
          <w:tcPr/>
          <w:p>
            <w:pPr>
              <w:pStyle w:val="Compact"/>
              <w:jc w:val="left"/>
            </w:pPr>
            <w:r>
              <w:rPr>
                <w:bCs/>
                <w:b/>
              </w:rPr>
              <w:t xml:space="preserve">Client specific IT solutions must be able to interface with other IT solutions</w:t>
            </w:r>
          </w:p>
        </w:tc>
      </w:tr>
      <w:tr>
        <w:tc>
          <w:tcPr/>
          <w:p>
            <w:pPr>
              <w:pStyle w:val="Compact"/>
              <w:jc w:val="right"/>
            </w:pPr>
            <w:r>
              <w:rPr>
                <w:bCs/>
                <w:b/>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Cs/>
                <w:b/>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Cs/>
                <w:b/>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Cs/>
                <w:b/>
              </w:rPr>
              <w:t xml:space="preserve">Example:</w:t>
            </w:r>
          </w:p>
        </w:tc>
        <w:tc>
          <w:tcPr/>
          <w:p>
            <w:pPr>
              <w:pStyle w:val="Compact"/>
              <w:jc w:val="left"/>
            </w:pPr>
            <w:r>
              <w:rPr>
                <w:iCs/>
                <w:i/>
              </w:rPr>
              <w:t xml:space="preserve">A client specific product, which can be used for extracting and manipulating data, should be accessible programmatically through e.g. well documented REST services</w:t>
            </w:r>
          </w:p>
        </w:tc>
      </w:tr>
    </w:tbl>
    <w:bookmarkEnd w:id="28"/>
    <w:bookmarkStart w:id="29"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1:</w:t>
            </w:r>
          </w:p>
        </w:tc>
        <w:tc>
          <w:tcPr/>
          <w:p>
            <w:pPr>
              <w:pStyle w:val="Compact"/>
              <w:jc w:val="left"/>
            </w:pPr>
            <w:r>
              <w:rPr>
                <w:bCs/>
                <w:b/>
              </w:rPr>
              <w:t xml:space="preserve">IT solutions are to be delivered on a principle of CI/CD</w:t>
            </w:r>
          </w:p>
        </w:tc>
      </w:tr>
      <w:tr>
        <w:tc>
          <w:tcPr/>
          <w:p>
            <w:pPr>
              <w:pStyle w:val="Compact"/>
              <w:jc w:val="right"/>
            </w:pPr>
            <w:r>
              <w:rPr>
                <w:bCs/>
                <w:b/>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Cs/>
                <w:b/>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Cs/>
                <w:b/>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Cs/>
                <w:b/>
              </w:rPr>
              <w:t xml:space="preserve">Example:</w:t>
            </w:r>
          </w:p>
        </w:tc>
        <w:tc>
          <w:tcPr/>
          <w:p>
            <w:pPr>
              <w:pStyle w:val="Compact"/>
              <w:jc w:val="left"/>
            </w:pPr>
            <w:r>
              <w:rPr>
                <w:iCs/>
                <w:i/>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2:</w:t>
            </w:r>
          </w:p>
        </w:tc>
        <w:tc>
          <w:tcPr/>
          <w:p>
            <w:pPr>
              <w:pStyle w:val="Compact"/>
              <w:jc w:val="left"/>
            </w:pPr>
            <w:r>
              <w:rPr>
                <w:bCs/>
                <w:b/>
              </w:rPr>
              <w:t xml:space="preserve">IT solutions are to be Dockerized or similar</w:t>
            </w:r>
          </w:p>
        </w:tc>
      </w:tr>
      <w:tr>
        <w:tc>
          <w:tcPr/>
          <w:p>
            <w:pPr>
              <w:pStyle w:val="Compact"/>
              <w:jc w:val="right"/>
            </w:pPr>
            <w:r>
              <w:rPr>
                <w:bCs/>
                <w:b/>
              </w:rPr>
              <w:t xml:space="preserve">What:</w:t>
            </w:r>
          </w:p>
        </w:tc>
        <w:tc>
          <w:tcPr/>
          <w:p>
            <w:pPr>
              <w:pStyle w:val="Compact"/>
              <w:jc w:val="left"/>
            </w:pPr>
            <w:r>
              <w:t xml:space="preserve">The use of container technology is encouraged</w:t>
            </w:r>
          </w:p>
        </w:tc>
      </w:tr>
      <w:tr>
        <w:tc>
          <w:tcPr/>
          <w:p>
            <w:pPr>
              <w:pStyle w:val="Compact"/>
              <w:jc w:val="right"/>
            </w:pPr>
            <w:r>
              <w:rPr>
                <w:bCs/>
                <w:b/>
              </w:rPr>
              <w:t xml:space="preserve">Why:</w:t>
            </w:r>
          </w:p>
        </w:tc>
        <w:tc>
          <w:tcPr/>
          <w:p>
            <w:pPr>
              <w:pStyle w:val="Compact"/>
              <w:jc w:val="left"/>
            </w:pPr>
            <w:r>
              <w:t xml:space="preserve">Container technology eases the work of moving IT solutions around the IT infrastructure making deployment easier to automate</w:t>
            </w:r>
          </w:p>
        </w:tc>
      </w:tr>
      <w:tr>
        <w:tc>
          <w:tcPr/>
          <w:p>
            <w:pPr>
              <w:pStyle w:val="Compact"/>
              <w:jc w:val="right"/>
            </w:pPr>
            <w:r>
              <w:rPr>
                <w:bCs/>
                <w:b/>
              </w:rPr>
              <w:t xml:space="preserve">Consequence:</w:t>
            </w:r>
          </w:p>
        </w:tc>
        <w:tc>
          <w:tcPr/>
          <w:p>
            <w:pPr>
              <w:pStyle w:val="Compact"/>
              <w:jc w:val="left"/>
            </w:pPr>
            <w:r>
              <w:t xml:space="preserve">IT solutions are to be deployed using Dockerization or similar</w:t>
            </w:r>
          </w:p>
        </w:tc>
      </w:tr>
      <w:tr>
        <w:tc>
          <w:tcPr/>
          <w:p>
            <w:pPr>
              <w:pStyle w:val="Compact"/>
              <w:jc w:val="right"/>
            </w:pPr>
            <w:r>
              <w:rPr>
                <w:bCs/>
                <w:b/>
              </w:rPr>
              <w:t xml:space="preserve">Example:</w:t>
            </w:r>
          </w:p>
        </w:tc>
        <w:tc>
          <w:tcPr/>
          <w:p>
            <w:pPr>
              <w:pStyle w:val="Compact"/>
              <w:jc w:val="left"/>
            </w:pPr>
            <w:r>
              <w:rPr>
                <w:iCs/>
                <w:i/>
              </w:rPr>
              <w:t xml:space="preserve">Software components of the client specific IT solution shall be provided as docker images so that deployment is flexible with respect to hardware</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3:</w:t>
            </w:r>
          </w:p>
        </w:tc>
        <w:tc>
          <w:tcPr/>
          <w:p>
            <w:pPr>
              <w:pStyle w:val="Compact"/>
              <w:jc w:val="left"/>
            </w:pPr>
            <w:r>
              <w:rPr>
                <w:bCs/>
                <w:b/>
              </w:rPr>
              <w:t xml:space="preserve">Tests are to be organised so that they may be automated</w:t>
            </w:r>
          </w:p>
        </w:tc>
      </w:tr>
      <w:tr>
        <w:tc>
          <w:tcPr/>
          <w:p>
            <w:pPr>
              <w:pStyle w:val="Compact"/>
              <w:jc w:val="right"/>
            </w:pPr>
            <w:r>
              <w:rPr>
                <w:bCs/>
                <w:b/>
              </w:rPr>
              <w:t xml:space="preserve">What:</w:t>
            </w:r>
          </w:p>
        </w:tc>
        <w:tc>
          <w:tcPr/>
          <w:p>
            <w:pPr>
              <w:pStyle w:val="Compact"/>
              <w:jc w:val="left"/>
            </w:pPr>
            <w:r>
              <w:t xml:space="preserve">Tests are to be structured so that they may be easily automated</w:t>
            </w:r>
          </w:p>
        </w:tc>
      </w:tr>
      <w:tr>
        <w:tc>
          <w:tcPr/>
          <w:p>
            <w:pPr>
              <w:pStyle w:val="Compact"/>
              <w:jc w:val="right"/>
            </w:pPr>
            <w:r>
              <w:rPr>
                <w:bCs/>
                <w:b/>
              </w:rPr>
              <w:t xml:space="preserve">Why:</w:t>
            </w:r>
          </w:p>
        </w:tc>
        <w:tc>
          <w:tcPr/>
          <w:p>
            <w:pPr>
              <w:pStyle w:val="Compact"/>
              <w:jc w:val="left"/>
            </w:pPr>
            <w:r>
              <w:t xml:space="preserve">To ensure that the CI/CD process does not introduce bugs or deployment failures, tests are to be automated so that they can continuously be run to ensure the quality of the solution and its possible enhancements</w:t>
            </w:r>
          </w:p>
        </w:tc>
      </w:tr>
      <w:tr>
        <w:tc>
          <w:tcPr/>
          <w:p>
            <w:pPr>
              <w:pStyle w:val="Compact"/>
              <w:jc w:val="right"/>
            </w:pPr>
            <w:r>
              <w:rPr>
                <w:bCs/>
                <w:b/>
              </w:rPr>
              <w:t xml:space="preserve">Consequence:</w:t>
            </w:r>
          </w:p>
        </w:tc>
        <w:tc>
          <w:tcPr/>
          <w:p>
            <w:pPr>
              <w:pStyle w:val="Compact"/>
              <w:jc w:val="left"/>
            </w:pPr>
            <w:r>
              <w:t xml:space="preserve">Tests are to be delivered so that they can be automated</w:t>
            </w:r>
          </w:p>
        </w:tc>
      </w:tr>
      <w:tr>
        <w:tc>
          <w:tcPr/>
          <w:p>
            <w:pPr>
              <w:pStyle w:val="Compact"/>
              <w:jc w:val="right"/>
            </w:pPr>
            <w:r>
              <w:rPr>
                <w:bCs/>
                <w:b/>
              </w:rPr>
              <w:t xml:space="preserve">Example:</w:t>
            </w:r>
          </w:p>
        </w:tc>
        <w:tc>
          <w:tcPr/>
          <w:p>
            <w:pPr>
              <w:pStyle w:val="Compact"/>
              <w:jc w:val="left"/>
            </w:pPr>
            <w:r>
              <w:rPr>
                <w:iCs/>
                <w:i/>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Maintainability 4:</w:t>
            </w:r>
          </w:p>
        </w:tc>
        <w:tc>
          <w:tcPr/>
          <w:p>
            <w:pPr>
              <w:pStyle w:val="Compact"/>
              <w:jc w:val="left"/>
            </w:pPr>
            <w:r>
              <w:rPr>
                <w:bCs/>
                <w:b/>
              </w:rPr>
              <w:t xml:space="preserve">IT solutions are to be regularly assessed</w:t>
            </w:r>
          </w:p>
        </w:tc>
      </w:tr>
      <w:tr>
        <w:tc>
          <w:tcPr/>
          <w:p>
            <w:pPr>
              <w:pStyle w:val="Compact"/>
              <w:jc w:val="right"/>
            </w:pPr>
            <w:r>
              <w:rPr>
                <w:bCs/>
                <w:b/>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Cs/>
                <w:b/>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Cs/>
                <w:b/>
              </w:rPr>
              <w:t xml:space="preserve">Consequence:</w:t>
            </w:r>
          </w:p>
        </w:tc>
        <w:tc>
          <w:tcPr/>
          <w:p>
            <w:pPr>
              <w:pStyle w:val="Compact"/>
              <w:jc w:val="left"/>
            </w:pPr>
            <w:r>
              <w:t xml:space="preserve">IT solution’s scalability, security, and overall performance are continuously monitored and evaluated to address performance and or security issues</w:t>
            </w:r>
          </w:p>
        </w:tc>
      </w:tr>
      <w:tr>
        <w:tc>
          <w:tcPr/>
          <w:p>
            <w:pPr>
              <w:pStyle w:val="Compact"/>
              <w:jc w:val="right"/>
            </w:pPr>
            <w:r>
              <w:rPr>
                <w:bCs/>
                <w:b/>
              </w:rPr>
              <w:t xml:space="preserve">Example:</w:t>
            </w:r>
          </w:p>
        </w:tc>
        <w:tc>
          <w:tcPr/>
          <w:p>
            <w:pPr>
              <w:pStyle w:val="Compact"/>
              <w:jc w:val="left"/>
            </w:pPr>
            <w:r>
              <w:rPr>
                <w:iCs/>
                <w:i/>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bookmarkEnd w:id="29"/>
    <w:bookmarkStart w:id="30" w:name="it-security"/>
    <w:p>
      <w:pPr>
        <w:pStyle w:val="Heading2"/>
      </w:pPr>
      <w:r>
        <w:t xml:space="preserve">4.6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1:</w:t>
            </w:r>
          </w:p>
        </w:tc>
        <w:tc>
          <w:tcPr/>
          <w:p>
            <w:pPr>
              <w:pStyle w:val="Compact"/>
              <w:jc w:val="left"/>
            </w:pPr>
            <w:r>
              <w:rPr>
                <w:bCs/>
                <w:b/>
              </w:rPr>
              <w:t xml:space="preserve">Incorporate security considerations from the beginning of the system development</w:t>
            </w:r>
          </w:p>
        </w:tc>
      </w:tr>
      <w:tr>
        <w:tc>
          <w:tcPr/>
          <w:p>
            <w:pPr>
              <w:pStyle w:val="Compact"/>
              <w:jc w:val="right"/>
            </w:pPr>
            <w:r>
              <w:rPr>
                <w:bCs/>
                <w:b/>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Cs/>
                <w:b/>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Cs/>
                <w:b/>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Cs/>
                <w:b/>
              </w:rPr>
              <w:t xml:space="preserve">Example:</w:t>
            </w:r>
          </w:p>
        </w:tc>
        <w:tc>
          <w:tcPr/>
          <w:p>
            <w:pPr>
              <w:pStyle w:val="Compact"/>
              <w:jc w:val="left"/>
            </w:pPr>
            <w:r>
              <w:rPr>
                <w:iCs/>
                <w:i/>
              </w:rPr>
              <w:t xml:space="preserve">Standard aspects such as two factor authentication, protection against SQL injection, encryption of sensitive data,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2:</w:t>
            </w:r>
          </w:p>
        </w:tc>
        <w:tc>
          <w:tcPr/>
          <w:p>
            <w:pPr>
              <w:pStyle w:val="Compact"/>
              <w:jc w:val="left"/>
            </w:pPr>
            <w:r>
              <w:rPr>
                <w:bCs/>
                <w:b/>
              </w:rPr>
              <w:t xml:space="preserve">Compliance with relevant laws, regulations and industry standards</w:t>
            </w:r>
          </w:p>
        </w:tc>
      </w:tr>
      <w:tr>
        <w:tc>
          <w:tcPr/>
          <w:p>
            <w:pPr>
              <w:pStyle w:val="Compact"/>
              <w:jc w:val="right"/>
            </w:pPr>
            <w:r>
              <w:rPr>
                <w:bCs/>
                <w:b/>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Cs/>
                <w:b/>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Cs/>
                <w:b/>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Cs/>
                <w:b/>
              </w:rPr>
              <w:t xml:space="preserve">Example:</w:t>
            </w:r>
          </w:p>
        </w:tc>
        <w:tc>
          <w:tcPr/>
          <w:p>
            <w:pPr>
              <w:pStyle w:val="Compact"/>
              <w:jc w:val="left"/>
            </w:pPr>
            <w:r>
              <w:rPr>
                <w:iCs/>
                <w:i/>
              </w:rPr>
              <w:t xml:space="preserve">Data handling agreements must be in place, consideration of server location in EU, etc.</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IT security 3:</w:t>
            </w:r>
          </w:p>
        </w:tc>
        <w:tc>
          <w:tcPr/>
          <w:p>
            <w:pPr>
              <w:pStyle w:val="Compact"/>
              <w:jc w:val="left"/>
            </w:pPr>
            <w:r>
              <w:rPr>
                <w:bCs/>
                <w:b/>
              </w:rPr>
              <w:t xml:space="preserve">Ensuring that users and systems have appropriate permissions based on their roles and responsibilities</w:t>
            </w:r>
          </w:p>
        </w:tc>
      </w:tr>
      <w:tr>
        <w:tc>
          <w:tcPr/>
          <w:p>
            <w:pPr>
              <w:pStyle w:val="Compact"/>
              <w:jc w:val="right"/>
            </w:pPr>
            <w:r>
              <w:rPr>
                <w:bCs/>
                <w:b/>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Cs/>
                <w:b/>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Cs/>
                <w:b/>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Cs/>
                <w:b/>
              </w:rPr>
              <w:t xml:space="preserve">Example:</w:t>
            </w:r>
          </w:p>
        </w:tc>
        <w:tc>
          <w:tcPr/>
          <w:p>
            <w:pPr>
              <w:pStyle w:val="Compact"/>
              <w:jc w:val="left"/>
            </w:pPr>
            <w:r>
              <w:rPr>
                <w:iCs/>
                <w:i/>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bookmarkEnd w:id="30"/>
    <w:bookmarkStart w:id="31" w:name="resilience"/>
    <w:p>
      <w:pPr>
        <w:pStyle w:val="Heading2"/>
      </w:pPr>
      <w:r>
        <w:t xml:space="preserve">4.7 Resilience</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1:</w:t>
            </w:r>
          </w:p>
        </w:tc>
        <w:tc>
          <w:tcPr/>
          <w:p>
            <w:pPr>
              <w:pStyle w:val="Compact"/>
              <w:jc w:val="left"/>
            </w:pPr>
            <w:r>
              <w:rPr>
                <w:bCs/>
                <w:b/>
              </w:rPr>
              <w:t xml:space="preserve">IT solution should have a disaster recovery plan</w:t>
            </w:r>
          </w:p>
        </w:tc>
      </w:tr>
      <w:tr>
        <w:tc>
          <w:tcPr/>
          <w:p>
            <w:pPr>
              <w:pStyle w:val="Compact"/>
              <w:jc w:val="right"/>
            </w:pPr>
            <w:r>
              <w:rPr>
                <w:bCs/>
                <w:b/>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Cs/>
                <w:b/>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Cs/>
                <w:b/>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Cs/>
                <w:b/>
              </w:rPr>
              <w:t xml:space="preserve">Example:</w:t>
            </w:r>
          </w:p>
        </w:tc>
        <w:tc>
          <w:tcPr/>
          <w:p>
            <w:pPr>
              <w:pStyle w:val="Compact"/>
              <w:jc w:val="left"/>
            </w:pPr>
            <w:r>
              <w:rPr>
                <w:iCs/>
                <w:i/>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2420"/>
        <w:gridCol w:w="5500"/>
      </w:tblGrid>
      <w:tr>
        <w:trPr>
          <w:tblHeader w:val="true"/>
        </w:trPr>
        <w:tc>
          <w:tcPr/>
          <w:p>
            <w:pPr>
              <w:pStyle w:val="Compact"/>
              <w:jc w:val="right"/>
            </w:pPr>
            <w:r>
              <w:rPr>
                <w:bCs/>
                <w:b/>
              </w:rPr>
              <w:t xml:space="preserve">Resilience 2:</w:t>
            </w:r>
          </w:p>
        </w:tc>
        <w:tc>
          <w:tcPr/>
          <w:p>
            <w:pPr>
              <w:pStyle w:val="Compact"/>
              <w:jc w:val="left"/>
            </w:pPr>
            <w:r>
              <w:rPr>
                <w:bCs/>
                <w:b/>
              </w:rPr>
              <w:t xml:space="preserve">Ensuring IT solution continuity</w:t>
            </w:r>
          </w:p>
        </w:tc>
      </w:tr>
      <w:tr>
        <w:tc>
          <w:tcPr/>
          <w:p>
            <w:pPr>
              <w:pStyle w:val="Compact"/>
              <w:jc w:val="right"/>
            </w:pPr>
            <w:r>
              <w:rPr>
                <w:bCs/>
                <w:b/>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Cs/>
                <w:b/>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Cs/>
                <w:b/>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Cs/>
                <w:b/>
              </w:rPr>
              <w:t xml:space="preserve">Example:</w:t>
            </w:r>
          </w:p>
        </w:tc>
        <w:tc>
          <w:tcPr/>
          <w:p>
            <w:pPr>
              <w:pStyle w:val="Compact"/>
              <w:jc w:val="left"/>
            </w:pPr>
            <w:r>
              <w:rPr>
                <w:iCs/>
                <w:i/>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528BE83B" w:rsidR="00A607A6" w:rsidRDefault="00000000">
        <w:pPr>
          <w:pStyle w:val="Footer"/>
          <w:jc w:val="right"/>
          <w:rPr>
            <w:rStyle w:val="PageNumber"/>
          </w:rPr>
        </w:pPr>
        <w:r>
          <w:rPr>
            <w:rStyle w:val="PageNumber"/>
          </w:rPr>
          <w:t xml:space="preserve"> CLMS </w:t>
        </w:r>
        <w:r>
          <w:rPr>
            <w:rStyle w:val="PageNumber"/>
          </w:rPr>
          <w:fldChar w:fldCharType="begin"/>
        </w:r>
        <w:r>
          <w:rPr>
            <w:rStyle w:val="PageNumber"/>
          </w:rPr>
          <w:instrText xml:space="preserve"> DOCPROPERTY "product-name"</w:instrText>
        </w:r>
        <w:r>
          <w:rPr>
            <w:rStyle w:val="PageNumber"/>
          </w:rPr>
          <w:fldChar w:fldCharType="separate"/>
        </w:r>
        <w:r>
          <w:rPr>
            <w:rStyle w:val="PageNumber"/>
          </w:rPr>
          <w:t>Product Name</w:t>
        </w:r>
        <w:r>
          <w:rPr>
            <w:rStyle w:val="PageNumber"/>
          </w:rPr>
          <w:fldChar w:fldCharType="end"/>
        </w:r>
        <w:r>
          <w:rPr>
            <w:rStyle w:val="PageNumber"/>
          </w:rPr>
          <w:t xml:space="preserve"> </w:t>
        </w:r>
        <w:r>
          <w:rPr>
            <w:rStyle w:val="SubtleReference"/>
            <w:rFonts w:cs="Calibri"/>
            <w:sz w:val="16"/>
            <w:szCs w:val="16"/>
          </w:rPr>
          <w:fldChar w:fldCharType="begin"/>
        </w:r>
        <w:r>
          <w:rPr>
            <w:rStyle w:val="SubtleReference"/>
            <w:rFonts w:cs="Calibri"/>
            <w:sz w:val="16"/>
            <w:szCs w:val="16"/>
          </w:rPr>
          <w:instrText xml:space="preserve"> DOCPROPERTY "version"</w:instrText>
        </w:r>
        <w:r>
          <w:rPr>
            <w:rStyle w:val="SubtleReference"/>
            <w:rFonts w:cs="Calibri"/>
            <w:sz w:val="16"/>
            <w:szCs w:val="16"/>
          </w:rPr>
          <w:fldChar w:fldCharType="separate"/>
        </w:r>
        <w:r>
          <w:rPr>
            <w:rStyle w:val="SubtleReference"/>
            <w:rFonts w:cs="Calibri"/>
            <w:sz w:val="16"/>
            <w:szCs w:val="16"/>
          </w:rPr>
          <w:t xml:space="preserve">ABCDEF Issue </w:t>
        </w:r>
        <w:proofErr w:type="spellStart"/>
        <w:r>
          <w:rPr>
            <w:rStyle w:val="SubtleReference"/>
            <w:rFonts w:cs="Calibri"/>
            <w:sz w:val="16"/>
            <w:szCs w:val="16"/>
          </w:rPr>
          <w:t>x.y</w:t>
        </w:r>
        <w:proofErr w:type="spellEnd"/>
        <w:r>
          <w:rPr>
            <w:rStyle w:val="SubtleReference"/>
            <w:rFonts w:cs="Calibri"/>
            <w:sz w:val="16"/>
            <w:szCs w:val="16"/>
          </w:rPr>
          <w:t xml:space="preserve"> (“(x) version of the document” + “.”+ “(y) version of the document update”) (first published version must start with 1.0)</w:t>
        </w:r>
        <w:r>
          <w:rPr>
            <w:rStyle w:val="SubtleReference"/>
            <w:rFonts w:cs="Calibri"/>
            <w:sz w:val="16"/>
            <w:szCs w:val="16"/>
          </w:rPr>
          <w:fldChar w:fldCharType="end"/>
        </w:r>
        <w:r>
          <w:rPr>
            <w:rStyle w:val="PageNumber"/>
            <w:highlight w:val="yellow"/>
          </w:rPr>
          <w:t xml:space="preserve"> </w:t>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5868C29"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9F621B" w:rsidRPr="009F621B">
      <w:rPr>
        <w:rFonts w:ascii="Arial" w:hAnsi="Arial" w:cs="Arial"/>
        <w:b/>
        <w:bCs/>
      </w:rPr>
      <w:fldChar w:fldCharType="begin"/>
    </w:r>
    <w:r w:rsidR="009F621B" w:rsidRPr="009F621B">
      <w:rPr>
        <w:rFonts w:ascii="Arial" w:hAnsi="Arial" w:cs="Arial"/>
        <w:b/>
        <w:bCs/>
      </w:rPr>
      <w:instrText xml:space="preserve"> AUTHOR  \* MERGEFORMAT </w:instrText>
    </w:r>
    <w:r w:rsidR="009F621B" w:rsidRPr="009F621B">
      <w:rPr>
        <w:rFonts w:ascii="Arial" w:hAnsi="Arial" w:cs="Arial"/>
        <w:b/>
        <w:bCs/>
      </w:rPr>
      <w:fldChar w:fldCharType="separate"/>
    </w:r>
    <w:r w:rsidR="009F621B" w:rsidRPr="009F621B">
      <w:rPr>
        <w:rFonts w:ascii="Arial" w:hAnsi="Arial" w:cs="Arial"/>
        <w:b/>
        <w:bCs/>
      </w:rPr>
      <w:t>Author</w:t>
    </w:r>
    <w:r w:rsidR="009F621B" w:rsidRPr="009F621B">
      <w:rPr>
        <w:rFonts w:ascii="Arial" w:hAnsi="Arial" w:cs="Arial"/>
        <w:b/>
        <w:bCs/>
      </w:rPr>
      <w:fldChar w:fldCharType="end"/>
    </w:r>
  </w:p>
  <w:p w14:paraId="46CD34FF" w14:textId="5BA361C0" w:rsidR="00A607A6" w:rsidRDefault="00000000">
    <w:pPr>
      <w:rPr>
        <w:rStyle w:val="SubtleReference"/>
        <w:rFonts w:ascii="Calibri" w:hAnsi="Calibri" w:cs="Calibri"/>
      </w:rPr>
    </w:pPr>
    <w:r>
      <w:rPr>
        <w:rStyle w:val="SubtleReference"/>
        <w:rFonts w:ascii="Arial" w:hAnsi="Arial" w:cs="Arial"/>
      </w:rPr>
      <w:t>Date:</w:t>
    </w:r>
    <w:r>
      <w:rPr>
        <w:rStyle w:val="SubtleReference"/>
        <w:rFonts w:cs="Calibri"/>
      </w:rPr>
      <w:tab/>
    </w:r>
    <w:r w:rsidR="00A01A45">
      <w:rPr>
        <w:rStyle w:val="SubtleReference"/>
        <w:rFonts w:cs="Calibri"/>
      </w:rPr>
      <w:t xml:space="preserve"> </w:t>
    </w:r>
    <w:r>
      <w:rPr>
        <w:rStyle w:val="SubtleReference"/>
        <w:rFonts w:ascii="Arial" w:hAnsi="Arial" w:cs="Arial"/>
        <w:b/>
        <w:bCs/>
      </w:rPr>
      <w:fldChar w:fldCharType="begin"/>
    </w:r>
    <w:r>
      <w:rPr>
        <w:rStyle w:val="SubtleReference"/>
        <w:rFonts w:ascii="Arial" w:hAnsi="Arial" w:cs="Arial"/>
        <w:b/>
        <w:bCs/>
      </w:rPr>
      <w:instrText xml:space="preserve"> DOCPROPERTY "date"</w:instrText>
    </w:r>
    <w:r>
      <w:rPr>
        <w:rStyle w:val="SubtleReference"/>
        <w:rFonts w:ascii="Arial" w:hAnsi="Arial" w:cs="Arial"/>
        <w:b/>
        <w:bCs/>
      </w:rPr>
      <w:fldChar w:fldCharType="separate"/>
    </w:r>
    <w:r>
      <w:rPr>
        <w:rStyle w:val="SubtleReference"/>
        <w:rFonts w:ascii="Arial" w:hAnsi="Arial" w:cs="Arial"/>
        <w:b/>
        <w:bCs/>
      </w:rPr>
      <w:t>2022-10-06</w:t>
    </w:r>
    <w:r>
      <w:rPr>
        <w:rStyle w:val="SubtleReference"/>
        <w:rFonts w:ascii="Arial" w:hAnsi="Arial" w:cs="Arial"/>
        <w:b/>
        <w:bCs/>
      </w:rPr>
      <w:fldChar w:fldCharType="end"/>
    </w:r>
  </w:p>
  <w:p w14:paraId="4976F53A" w14:textId="3ED3BA6B" w:rsidR="00A607A6" w:rsidRDefault="00000000">
    <w:pPr>
      <w:rPr>
        <w:rStyle w:val="SubtleReference"/>
        <w:rFonts w:ascii="Calibri" w:hAnsi="Calibri" w:cs="Calibri"/>
      </w:rPr>
    </w:pPr>
    <w:r w:rsidRPr="00A01A45">
      <w:rPr>
        <w:rStyle w:val="SubtleReference"/>
        <w:rFonts w:ascii="Arial" w:hAnsi="Arial" w:cs="Arial"/>
      </w:rPr>
      <w:t>Doc. Version:</w:t>
    </w:r>
    <w:r>
      <w:rPr>
        <w:rStyle w:val="SubtleReference"/>
        <w:rFonts w:cs="Calibri"/>
      </w:rPr>
      <w:tab/>
    </w:r>
    <w:r>
      <w:rPr>
        <w:rStyle w:val="SubtleReference"/>
        <w:rFonts w:ascii="Arial" w:hAnsi="Arial" w:cs="Arial"/>
        <w:b/>
        <w:bCs/>
        <w:szCs w:val="22"/>
      </w:rPr>
      <w:fldChar w:fldCharType="begin"/>
    </w:r>
    <w:r>
      <w:rPr>
        <w:rStyle w:val="SubtleReference"/>
        <w:rFonts w:ascii="Arial" w:hAnsi="Arial" w:cs="Arial"/>
        <w:b/>
        <w:bCs/>
        <w:szCs w:val="22"/>
      </w:rPr>
      <w:instrText xml:space="preserve"> DOCPROPERTY "version"</w:instrText>
    </w:r>
    <w:r>
      <w:rPr>
        <w:rStyle w:val="SubtleReference"/>
        <w:rFonts w:ascii="Arial" w:hAnsi="Arial" w:cs="Arial"/>
        <w:b/>
        <w:bCs/>
        <w:szCs w:val="22"/>
      </w:rPr>
      <w:fldChar w:fldCharType="separate"/>
    </w:r>
    <w:r>
      <w:rPr>
        <w:rStyle w:val="SubtleReference"/>
        <w:rFonts w:ascii="Arial" w:hAnsi="Arial" w:cs="Arial"/>
        <w:b/>
        <w:bCs/>
        <w:szCs w:val="22"/>
      </w:rPr>
      <w:t xml:space="preserve">ABCDEF Issue </w:t>
    </w:r>
    <w:proofErr w:type="spellStart"/>
    <w:r>
      <w:rPr>
        <w:rStyle w:val="SubtleReference"/>
        <w:rFonts w:ascii="Arial" w:hAnsi="Arial" w:cs="Arial"/>
        <w:b/>
        <w:bCs/>
        <w:szCs w:val="22"/>
      </w:rPr>
      <w:t>x.y</w:t>
    </w:r>
    <w:proofErr w:type="spellEnd"/>
    <w:r>
      <w:rPr>
        <w:rStyle w:val="SubtleReference"/>
        <w:rFonts w:ascii="Arial" w:hAnsi="Arial" w:cs="Arial"/>
        <w:b/>
        <w:bCs/>
        <w:szCs w:val="22"/>
      </w:rPr>
      <w:t xml:space="preserve"> (“(x) version of the document” + “.”+ “(y) version of the document update”) (first published version must start with 1.0)</w:t>
    </w:r>
    <w:r>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Hyperlink"/>
          </w:rPr>
          <w:t xml:space="preserve">European Union Public Licence - European Commission (europa.eu)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77BD6" w14:textId="77777777" w:rsidR="00A01A45" w:rsidRDefault="00A01A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4234C" w14:textId="77777777" w:rsidR="00A01A45" w:rsidRDefault="00A01A45">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80391846" w:numId="1">
    <w:abstractNumId w:val="1"/>
  </w:num>
  <w:num w16cid:durableId="1146750534" w:numId="2">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semiHidden/>
    <w:unhideWhenUsed/>
    <w:qFormat/>
    <w:rsid w:val="00EC46C9"/>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shd w:color="auto" w:fill="auto" w:val="clear"/>
      <w:vAlign w:val="cente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hyperlink" Id="rId26" Target="https://commission.europa.eu/content/european-union-public-licence_en"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6" Target="https://commission.europa.eu/content/european-union-public-licence_en" TargetMode="External" /></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75</Words>
  <Characters>429</Characters>
  <Application>Microsoft Office Word</Application>
  <DocSecurity>0</DocSecurity>
  <Lines>3</Lines>
  <Paragraphs>1</Paragraphs>
  <ScaleCrop>false</ScaleCrop>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IV: IT Architecture Principles and Implementation Guidelines</dc:title>
  <dc:creator>European Environment Agency (EEA)</dc:creator>
  <cp:keywords>Copernicus Land Monitoring Service, CLMS IT Architecture, European Environment Agency, IT Principles and Guidelines, IT Ecosystem, IT Security, EUPL Licensing, Reproducibility, Reusability, Transparency, Scalability, Maintainability, Resilient IT Solutions, Modular IT Architecture, Continuous Integration</cp:keywords>
  <dcterms:created xsi:type="dcterms:W3CDTF">2025-02-23T19:50:42Z</dcterms:created>
  <dcterms:modified xsi:type="dcterms:W3CDTF">2025-02-23T19:50:42Z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2024-11-08</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roduct-name">
    <vt:lpwstr>IT Architecture Principles and Implementation Guidelines</vt:lpwstr>
  </property>
  <property fmtid="{D5CDD505-2E9C-101B-9397-08002B2CF9AE}" pid="13" name="sitemap">
    <vt:lpwstr>True</vt:lpwstr>
  </property>
  <property fmtid="{D5CDD505-2E9C-101B-9397-08002B2CF9AE}" pid="14" name="subtitle">
    <vt:lpwstr>Copernicus Land Monitoring Service</vt:lpwstr>
  </property>
  <property fmtid="{D5CDD505-2E9C-101B-9397-08002B2CF9AE}" pid="15" name="toc-location">
    <vt:lpwstr>before-body</vt:lpwstr>
  </property>
  <property fmtid="{D5CDD505-2E9C-101B-9397-08002B2CF9AE}" pid="16" name="toc-pagebreak">
    <vt:lpwstr>True</vt:lpwstr>
  </property>
  <property fmtid="{D5CDD505-2E9C-101B-9397-08002B2CF9AE}" pid="17" name="toc-title">
    <vt:lpwstr>Index</vt:lpwstr>
  </property>
  <property fmtid="{D5CDD505-2E9C-101B-9397-08002B2CF9AE}" pid="18" name="version">
    <vt:lpwstr>1.3</vt:lpwstr>
  </property>
</Properties>
</file>