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presents the IT Architecture Principles and Implementation Guidelines for the Copernicus Land Monitoring Service (CLMS). It defines the framework for scalable, secure, and consistent IT solutions. Covering architectural themes such as reproducibility, reusability, transparency, maintainability, security, and resilience, the document supports the CLMS program’s vision. It promotes interoperability, cloud-agnostic solutions, and adherence to industry standards, while ensuring solutions are adaptable, transparent, and efficiently maintained.</dc:description>
  <cp:keywords>IT architecture principles, Implementation guidelines, Copernicus Land Monitoring Service, Modularity, Reproducibility, Reusability, Transparency, Maintainability, IT security, Resilience</cp:keywords>
  <dcterms:created xsi:type="dcterms:W3CDTF">2026-04-24T06:50:40Z</dcterms:created>
  <dcterms:modified xsi:type="dcterms:W3CDTF">2026-04-24T06:50:40Z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