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_v1-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_v1-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_v1-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_v1-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_v1-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_v1-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_v1-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_v1-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_v1-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_v1-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4"/>
        <w:tblLayout w:type="fixed"/>
        <w:tblLook w:firstRow="0" w:lastRow="0" w:firstColumn="0" w:lastColumn="0" w:noHBand="0" w:noVBand="0" w:val="0000"/>
      </w:tblPr>
      <w:tblGrid>
        <w:gridCol w:w="647"/>
        <w:gridCol w:w="1095"/>
        <w:gridCol w:w="398"/>
        <w:gridCol w:w="398"/>
        <w:gridCol w:w="398"/>
        <w:gridCol w:w="478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_v1-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_v1-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_v1-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1"/>
        <w:tblLayout w:type="fixed"/>
        <w:tblLook w:firstRow="0" w:lastRow="0" w:firstColumn="0" w:lastColumn="0" w:noHBand="0" w:noVBand="0" w:val="0000"/>
      </w:tblPr>
      <w:tblGrid>
        <w:gridCol w:w="528"/>
        <w:gridCol w:w="1900"/>
        <w:gridCol w:w="281"/>
        <w:gridCol w:w="352"/>
        <w:gridCol w:w="316"/>
        <w:gridCol w:w="4400"/>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_v1-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_v1-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_v1-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7"/>
        <w:tblLayout w:type="fixed"/>
        <w:tblLook w:firstRow="0" w:lastRow="0" w:firstColumn="0" w:lastColumn="0" w:noHBand="0" w:noVBand="0" w:val="0000"/>
      </w:tblPr>
      <w:tblGrid>
        <w:gridCol w:w="550"/>
        <w:gridCol w:w="1650"/>
        <w:gridCol w:w="293"/>
        <w:gridCol w:w="366"/>
        <w:gridCol w:w="330"/>
        <w:gridCol w:w="4583"/>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_v1-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_v1-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_v1-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_v1-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_v1-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_v1-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_v1-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_v1-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_v1-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_v1-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4"/>
        <w:tblLayout w:type="fixed"/>
        <w:tblLook w:firstRow="0" w:lastRow="0" w:firstColumn="0" w:lastColumn="0" w:noHBand="0" w:noVBand="0" w:val="0000"/>
      </w:tblPr>
      <w:tblGrid>
        <w:gridCol w:w="492"/>
        <w:gridCol w:w="1818"/>
        <w:gridCol w:w="303"/>
        <w:gridCol w:w="303"/>
        <w:gridCol w:w="303"/>
        <w:gridCol w:w="4547"/>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_v1-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_v1-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_v1-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_v1-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_v1-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_v1-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90"/>
        <w:tblLayout w:type="fixed"/>
        <w:tblLook w:firstRow="0" w:lastRow="0" w:firstColumn="0" w:lastColumn="0" w:noHBand="0" w:noVBand="0" w:val="0000"/>
      </w:tblPr>
      <w:tblGrid>
        <w:gridCol w:w="451"/>
        <w:gridCol w:w="1042"/>
        <w:gridCol w:w="937"/>
        <w:gridCol w:w="937"/>
        <w:gridCol w:w="937"/>
        <w:gridCol w:w="2813"/>
        <w:gridCol w:w="625"/>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_v1-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_v1-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_v1-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_v1-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_v1-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4"/>
        <w:tblLayout w:type="fixed"/>
        <w:tblLook w:firstRow="0" w:lastRow="0" w:firstColumn="0" w:lastColumn="0" w:noHBand="0" w:noVBand="0" w:val="0000"/>
      </w:tblPr>
      <w:tblGrid>
        <w:gridCol w:w="438"/>
        <w:gridCol w:w="1246"/>
        <w:gridCol w:w="909"/>
        <w:gridCol w:w="909"/>
        <w:gridCol w:w="909"/>
        <w:gridCol w:w="2729"/>
        <w:gridCol w:w="606"/>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_v1-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_v1-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_v1-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_v1-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_v1-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3"/>
        <w:tblLayout w:type="fixed"/>
        <w:tblLook w:firstRow="0" w:lastRow="0" w:firstColumn="0" w:lastColumn="0" w:noHBand="0" w:noVBand="0" w:val="0000"/>
      </w:tblPr>
      <w:tblGrid>
        <w:gridCol w:w="440"/>
        <w:gridCol w:w="1252"/>
        <w:gridCol w:w="913"/>
        <w:gridCol w:w="913"/>
        <w:gridCol w:w="913"/>
        <w:gridCol w:w="2707"/>
        <w:gridCol w:w="609"/>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_v1-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_v1-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_v1-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_v1-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_v1-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20"/>
        <w:tblLayout w:type="fixed"/>
        <w:tblLook w:firstRow="0" w:lastRow="0" w:firstColumn="0" w:lastColumn="0" w:noHBand="0" w:noVBand="0" w:val="0000"/>
      </w:tblPr>
      <w:tblGrid>
        <w:gridCol w:w="413"/>
        <w:gridCol w:w="2162"/>
        <w:gridCol w:w="222"/>
        <w:gridCol w:w="254"/>
        <w:gridCol w:w="222"/>
        <w:gridCol w:w="4516"/>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_v1-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_v1-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_v1-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_v1-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_v1-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_v1-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_v1-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5"/>
        <w:tblLayout w:type="fixed"/>
        <w:tblLook w:firstRow="0" w:lastRow="0" w:firstColumn="0" w:lastColumn="0" w:noHBand="0" w:noVBand="0" w:val="0000"/>
      </w:tblPr>
      <w:tblGrid>
        <w:gridCol w:w="465"/>
        <w:gridCol w:w="1264"/>
        <w:gridCol w:w="898"/>
        <w:gridCol w:w="898"/>
        <w:gridCol w:w="898"/>
        <w:gridCol w:w="2728"/>
        <w:gridCol w:w="598"/>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_v1-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_v1-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_v1-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_v1-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_v1-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_v1-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High-Resolution Layer (HRL) Grasslands product. It outlines the characteristics, production methodologies, and quality assessments associated with the annual provision of HRL Grasslands data. The manual details product lineage, user requirements, application areas, product descriptions (including nomenclature, file naming conventions, and spatial resolution), quality assessment procedures, and access and usage conditions, providing essential information for effective utilisation of the HRL Grasslands product.</dc:description>
  <cp:keywords>High Resolution Layer Grasslands, Herbaceous Cover layer, Grassland Mowing Events, Grassland Mowing Dates, Ploughing Indicator, Grassland Change layer, Base Vegetation Layer classification, Sentinel-2 time-series analysis, thematic accuracy assessment, Cloud-Optimized GeoTIFFs</cp:keywords>
  <dcterms:created xsi:type="dcterms:W3CDTF">2025-11-21T12:57:18Z</dcterms:created>
  <dcterms:modified xsi:type="dcterms:W3CDTF">2025-11-21T12:57:18Z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