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 Product User Manual (PUM)</w:t>
      </w:r>
    </w:p>
    <w:p>
      <w:pPr>
        <w:pStyle w:val="Subtitle"/>
      </w:pPr>
      <w:r>
        <w:t xml:space="preserve">Copernicus Land Monitoring Service</w:t>
      </w:r>
    </w:p>
    <w:p>
      <w:pPr>
        <w:pStyle w:val="Date"/>
      </w:pPr>
      <w:r>
        <w:t xml:space="preserve">2025-11-04</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p>
    <w:p>
      <w:pPr>
        <w:pStyle w:val="BodyText"/>
      </w:pP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 and it is distributed as part of the Urban Atlas suite.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(produced within the HLR-SLF but still formal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df99b11a95f0846af537268322bcd7e37eb6139"/>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 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 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4808593" cy="4706282"/>
                  <wp:effectExtent b="0" l="0" r="0" t="0"/>
                  <wp:docPr descr="" title="" id="39" name="Picture"/>
                  <a:graphic>
                    <a:graphicData uri="http://schemas.openxmlformats.org/drawingml/2006/picture">
                      <pic:pic>
                        <pic:nvPicPr>
                          <pic:cNvPr descr="High_Resolution_Layer_CLMS_PUM_HRLSLF_v1.1-media/figure1.png" id="40" name="Picture"/>
                          <pic:cNvPicPr>
                            <a:picLocks noChangeArrowheads="1" noChangeAspect="1"/>
                          </pic:cNvPicPr>
                        </pic:nvPicPr>
                        <pic:blipFill>
                          <a:blip r:embed="rId38"/>
                          <a:stretch>
                            <a:fillRect/>
                          </a:stretch>
                        </pic:blipFill>
                        <pic:spPr bwMode="auto">
                          <a:xfrm>
                            <a:off x="0" y="0"/>
                            <a:ext cx="4808593" cy="47062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w:t>
            </w:r>
          </w:p>
          <w:bookmarkEnd w:id="41"/>
        </w:tc>
      </w:tr>
    </w:tbl>
    <w:bookmarkEnd w:id="42"/>
    <w:bookmarkEnd w:id="43"/>
    <w:bookmarkStart w:id="86" w:name="product-description"/>
    <w:p>
      <w:pPr>
        <w:pStyle w:val="Heading1"/>
      </w:pPr>
      <w:r>
        <w:t xml:space="preserve">7. Product description</w:t>
      </w:r>
    </w:p>
    <w:bookmarkStart w:id="48"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tbl>
      <w:tblPr>
        <w:tblStyle w:val="Table"/>
        <w:tblW w:type="pct" w:w="5000"/>
        <w:tblLayout w:type="fixed"/>
        <w:tblLook w:firstRow="0" w:lastRow="0" w:firstColumn="0" w:lastColumn="0" w:noHBand="0" w:noVBand="0" w:val="0000"/>
      </w:tblPr>
      <w:tblGrid>
        <w:gridCol w:w="7920"/>
      </w:tblGrid>
      <w:tr>
        <w:tc>
          <w:tcPr/>
          <w:bookmarkStart w:id="47" w:name="fig-figure2"/>
          <w:p>
            <w:pPr>
              <w:pStyle w:val="Compact"/>
              <w:jc w:val="center"/>
            </w:pPr>
            <w:r>
              <w:drawing>
                <wp:inline>
                  <wp:extent cx="5943600" cy="3130598"/>
                  <wp:effectExtent b="0" l="0" r="0" t="0"/>
                  <wp:docPr descr="" title="" id="45" name="Picture"/>
                  <a:graphic>
                    <a:graphicData uri="http://schemas.openxmlformats.org/drawingml/2006/picture">
                      <pic:pic>
                        <pic:nvPicPr>
                          <pic:cNvPr descr="High_Resolution_Layer_CLMS_PUM_HRLSLF_v1.1-media/img-6fd63a70b5caffb030af91df1033a10314267458.png" id="46" name="Picture"/>
                          <pic:cNvPicPr>
                            <a:picLocks noChangeArrowheads="1" noChangeAspect="1"/>
                          </pic:cNvPicPr>
                        </pic:nvPicPr>
                        <pic:blipFill>
                          <a:blip r:embed="rId44"/>
                          <a:stretch>
                            <a:fillRect/>
                          </a:stretch>
                        </pic:blipFill>
                        <pic:spPr bwMode="auto">
                          <a:xfrm>
                            <a:off x="0" y="0"/>
                            <a:ext cx="5943600" cy="3130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HRL SLF 2021 product suite</w:t>
            </w:r>
          </w:p>
          <w:bookmarkEnd w:id="47"/>
        </w:tc>
      </w:tr>
    </w:tbl>
    <w:p>
      <w:pPr>
        <w:pStyle w:val="BodyText"/>
      </w:pPr>
      <w:r>
        <w:t xml:space="preserve">All layers are distributed in tiles corresponding to 100km LAEA grid cells.</w:t>
      </w:r>
    </w:p>
    <w:bookmarkEnd w:id="48"/>
    <w:bookmarkStart w:id="63" w:name="product-characteristics"/>
    <w:p>
      <w:pPr>
        <w:pStyle w:val="Heading2"/>
      </w:pPr>
      <w:r>
        <w:t xml:space="preserve">7.2 Product characteristics</w:t>
      </w:r>
    </w:p>
    <w:bookmarkStart w:id="49"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9"/>
    <w:bookmarkStart w:id="52"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50"/>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2"/>
    <w:bookmarkStart w:id="53"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over Artificial surfaces (nomenclature class 1) inside each FUA covered by Urban Atlas 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53"/>
    <w:bookmarkStart w:id="54"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4"/>
    <w:bookmarkStart w:id="59" w:name="auxiliary-layers"/>
    <w:p>
      <w:pPr>
        <w:pStyle w:val="Heading3"/>
      </w:pPr>
      <w:r>
        <w:t xml:space="preserve">7.2.5 Auxiliary Layers</w:t>
      </w:r>
    </w:p>
    <w:bookmarkStart w:id="55" w:name="parent-scene-identification-layer-psil"/>
    <w:p>
      <w:pPr>
        <w:pStyle w:val="Heading5"/>
      </w:pPr>
      <w:r>
        <w:t xml:space="preserve">7.2.5.0.1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5"/>
    <w:bookmarkStart w:id="56" w:name="wvl-confidence-layer"/>
    <w:p>
      <w:pPr>
        <w:pStyle w:val="Heading5"/>
      </w:pPr>
      <w:r>
        <w:t xml:space="preserve">7.2.5.0.2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6"/>
    <w:bookmarkStart w:id="57" w:name="forest-mask"/>
    <w:p>
      <w:pPr>
        <w:pStyle w:val="Heading5"/>
      </w:pPr>
      <w:r>
        <w:t xml:space="preserve">7.2.5.0.3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7"/>
    <w:bookmarkStart w:id="58" w:name="crop-mask"/>
    <w:p>
      <w:pPr>
        <w:pStyle w:val="Heading5"/>
      </w:pPr>
      <w:r>
        <w:t xml:space="preserve">7.2.5.0.4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8"/>
    <w:bookmarkEnd w:id="59"/>
    <w:bookmarkStart w:id="62" w:name="reference-data"/>
    <w:p>
      <w:pPr>
        <w:pStyle w:val="Heading3"/>
      </w:pPr>
      <w:r>
        <w:t xml:space="preserve">7.2.6 Reference Data</w:t>
      </w:r>
    </w:p>
    <w:bookmarkStart w:id="60"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60"/>
    <w:bookmarkStart w:id="61"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1"/>
    <w:bookmarkEnd w:id="62"/>
    <w:bookmarkEnd w:id="63"/>
    <w:bookmarkStart w:id="81" w:name="product-specifications"/>
    <w:p>
      <w:pPr>
        <w:pStyle w:val="Heading2"/>
      </w:pPr>
      <w:r>
        <w:t xml:space="preserve">7.3 Product specifications</w:t>
      </w:r>
    </w:p>
    <w:bookmarkStart w:id="68" w:name="primary-layers"/>
    <w:p>
      <w:pPr>
        <w:pStyle w:val="Heading3"/>
      </w:pPr>
      <w:r>
        <w:t xml:space="preserve">7.3.1 Primary Layers</w:t>
      </w:r>
    </w:p>
    <w:bookmarkStart w:id="64" w:name="small-woody-features-2021-vector"/>
    <w:p>
      <w:pPr>
        <w:pStyle w:val="Heading5"/>
      </w:pPr>
      <w:r>
        <w:t xml:space="preserve">7.3.1.0.1 Small Woody Features 2021 vector</w:t>
      </w:r>
    </w:p>
    <w:p>
      <w:pPr>
        <w:pStyle w:val="FirstParagraph"/>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4"/>
    <w:bookmarkStart w:id="65" w:name="street-tree-layer-vector"/>
    <w:p>
      <w:pPr>
        <w:pStyle w:val="Heading5"/>
      </w:pPr>
      <w:r>
        <w:t xml:space="preserve">7.3.1.0.2 Street Tree Layer vector</w:t>
      </w:r>
    </w:p>
    <w:p>
      <w:pPr>
        <w:pStyle w:val="FirstParagraph"/>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Vector classes:</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5"/>
    <w:bookmarkStart w:id="66" w:name="woody-vegetation-layer-5m-raster"/>
    <w:p>
      <w:pPr>
        <w:pStyle w:val="Heading5"/>
      </w:pPr>
      <w:r>
        <w:t xml:space="preserve">7.3.1.0.3 Woody Vegetation Layer 5m raster</w:t>
      </w:r>
    </w:p>
    <w:p>
      <w:pPr>
        <w:pStyle w:val="FirstParagraph"/>
      </w:pPr>
      <w:r>
        <w:t xml:space="preserve">Table 3: Woody Vegetation Layer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Layer 2021 5m</w:t>
            </w:r>
          </w:p>
        </w:tc>
      </w:tr>
      <w:tr>
        <w:tc>
          <w:tcPr/>
          <w:p>
            <w:pPr>
              <w:pStyle w:val="Compact"/>
            </w:pPr>
            <w:r>
              <w:t xml:space="preserve">Acronym</w:t>
            </w:r>
          </w:p>
        </w:tc>
        <w:tc>
          <w:tcPr/>
          <w:p>
            <w:pPr>
              <w:pStyle w:val="Compact"/>
            </w:pPr>
            <w:r>
              <w:t xml:space="preserve">WVL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vegetation for reference year 2021,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non-tree covered areas</w:t>
            </w:r>
            <w:r>
              <w:rPr>
                <w:i/>
                <w:iCs/>
              </w:rPr>
              <w:t xml:space="preserve"> </w:t>
            </w:r>
            <w:r>
              <w:rPr>
                <w:i/>
                <w:iCs/>
              </w:rPr>
              <w:t xml:space="preserve"> </w:t>
            </w:r>
            <w:r>
              <w:rPr>
                <w:i/>
                <w:iCs/>
              </w:rPr>
              <w:t xml:space="preserve">1: Tree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6"/>
    <w:bookmarkStart w:id="67" w:name="small-woody-features-5m-raster"/>
    <w:p>
      <w:pPr>
        <w:pStyle w:val="Heading5"/>
      </w:pPr>
      <w:r>
        <w:t xml:space="preserve">7.3.1.0.4 Small Woody Features 5m raster</w:t>
      </w:r>
    </w:p>
    <w:p>
      <w:pPr>
        <w:pStyle w:val="FirstParagraph"/>
      </w:pPr>
      <w:r>
        <w:t xml:space="preserve">Table 4: Small Woody Features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5m raster</w:t>
            </w:r>
          </w:p>
        </w:tc>
      </w:tr>
      <w:tr>
        <w:tc>
          <w:tcPr/>
          <w:p>
            <w:pPr>
              <w:pStyle w:val="Compact"/>
            </w:pPr>
            <w:r>
              <w:t xml:space="preserve">Acronym</w:t>
            </w:r>
          </w:p>
        </w:tc>
        <w:tc>
          <w:tcPr/>
          <w:p>
            <w:pPr>
              <w:pStyle w:val="Compact"/>
            </w:pPr>
            <w:r>
              <w:t xml:space="preserve">SWF 5m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80%</w:t>
            </w:r>
          </w:p>
        </w:tc>
      </w:tr>
      <w:tr>
        <w:tc>
          <w:tcPr/>
          <w:p>
            <w:pPr>
              <w:pStyle w:val="Compact"/>
            </w:pPr>
            <w:r>
              <w:t xml:space="preserve">Minimum Mapping Unit (MMU)</w:t>
            </w:r>
          </w:p>
        </w:tc>
        <w:tc>
          <w:tcPr/>
          <w:p>
            <w:pPr>
              <w:pStyle w:val="Compact"/>
            </w:pPr>
            <w:r>
              <w:t xml:space="preserve">No MMU for the linear elements. MMU for Patchy structures of trees and scrub: 200m² (size limit of 5000m²)</w:t>
            </w:r>
          </w:p>
        </w:tc>
      </w:tr>
      <w:tr>
        <w:tc>
          <w:tcPr/>
          <w:p>
            <w:pPr>
              <w:pStyle w:val="Compact"/>
            </w:pPr>
            <w:r>
              <w:t xml:space="preserve">Raster coding</w:t>
            </w:r>
          </w:p>
        </w:tc>
        <w:tc>
          <w:tcPr/>
          <w:p>
            <w:pPr>
              <w:pStyle w:val="Compact"/>
            </w:pPr>
            <w:r>
              <w:rPr>
                <w:i/>
                <w:iCs/>
              </w:rPr>
              <w:t xml:space="preserve">0: All non SWF covered areas</w:t>
            </w:r>
            <w:r>
              <w:rPr>
                <w:i/>
                <w:iCs/>
              </w:rPr>
              <w:t xml:space="preserve"> </w:t>
            </w:r>
            <w:r>
              <w:rPr>
                <w:i/>
                <w:iCs/>
              </w:rPr>
              <w:t xml:space="preserve"> </w:t>
            </w:r>
            <w:r>
              <w:rPr>
                <w:i/>
                <w:iCs/>
              </w:rPr>
              <w:t xml:space="preserve">1: SWF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7"/>
    <w:bookmarkEnd w:id="68"/>
    <w:bookmarkStart w:id="71" w:name="aggregated-layers"/>
    <w:p>
      <w:pPr>
        <w:pStyle w:val="Heading3"/>
      </w:pPr>
      <w:r>
        <w:t xml:space="preserve">7.3.2 Aggregated Layers</w:t>
      </w:r>
    </w:p>
    <w:bookmarkStart w:id="69" w:name="small-woody-features-100m-raster"/>
    <w:p>
      <w:pPr>
        <w:pStyle w:val="Heading5"/>
      </w:pPr>
      <w:r>
        <w:t xml:space="preserve">7.3.2.0.1 Small Woody Features 100m raster</w:t>
      </w:r>
    </w:p>
    <w:p>
      <w:pPr>
        <w:pStyle w:val="FirstParagraph"/>
      </w:pPr>
      <w:r>
        <w:t xml:space="preserve">Table 5: Small Woody Features 100m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100m raster</w:t>
            </w:r>
          </w:p>
        </w:tc>
      </w:tr>
      <w:tr>
        <w:tc>
          <w:tcPr/>
          <w:p>
            <w:pPr>
              <w:pStyle w:val="Compact"/>
            </w:pPr>
            <w:r>
              <w:t xml:space="preserve">Acronym</w:t>
            </w:r>
          </w:p>
        </w:tc>
        <w:tc>
          <w:tcPr/>
          <w:p>
            <w:pPr>
              <w:pStyle w:val="Compact"/>
            </w:pPr>
            <w:r>
              <w:t xml:space="preserve">SWF 100m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Density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non-SWF covered areas</w:t>
            </w:r>
            <w:r>
              <w:rPr>
                <w:i/>
                <w:iCs/>
              </w:rPr>
              <w:t xml:space="preserve"> </w:t>
            </w:r>
            <w:r>
              <w:rPr>
                <w:i/>
                <w:iCs/>
              </w:rPr>
              <w:t xml:space="preserve"> </w:t>
            </w:r>
            <w:r>
              <w:rPr>
                <w:i/>
                <w:iCs/>
              </w:rPr>
              <w:t xml:space="preserve">1-100: SWF density %</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9"/>
    <w:bookmarkStart w:id="70" w:name="small-woody-features-change-raster"/>
    <w:p>
      <w:pPr>
        <w:pStyle w:val="Heading5"/>
      </w:pPr>
      <w:r>
        <w:t xml:space="preserve">7.3.2.0.2 Small Woody Features change raster</w:t>
      </w:r>
    </w:p>
    <w:p>
      <w:pPr>
        <w:pStyle w:val="FirstParagraph"/>
      </w:pPr>
      <w:r>
        <w:t xml:space="preserve">Table 6: Small Woody Features change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Change 2018-2021 100m raster</w:t>
            </w:r>
          </w:p>
        </w:tc>
      </w:tr>
      <w:tr>
        <w:tc>
          <w:tcPr/>
          <w:p>
            <w:pPr>
              <w:pStyle w:val="Compact"/>
            </w:pPr>
            <w:r>
              <w:t xml:space="preserve">Acronym</w:t>
            </w:r>
          </w:p>
        </w:tc>
        <w:tc>
          <w:tcPr/>
          <w:p>
            <w:pPr>
              <w:pStyle w:val="Compact"/>
            </w:pPr>
            <w:r>
              <w:t xml:space="preserve">SWFC</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Change</w:t>
            </w:r>
          </w:p>
        </w:tc>
      </w:tr>
      <w:tr>
        <w:tc>
          <w:tcPr/>
          <w:p>
            <w:pPr>
              <w:pStyle w:val="Compact"/>
            </w:pPr>
            <w:r>
              <w:t xml:space="preserve">Summary</w:t>
            </w:r>
          </w:p>
        </w:tc>
        <w:tc>
          <w:tcPr/>
          <w:p>
            <w:pPr>
              <w:pStyle w:val="Compact"/>
            </w:pPr>
            <w:r>
              <w:t xml:space="preserve">Increase / Decrease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2018-2021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stable areas</w:t>
            </w:r>
            <w:r>
              <w:rPr>
                <w:i/>
                <w:iCs/>
              </w:rPr>
              <w:t xml:space="preserve"> </w:t>
            </w:r>
            <w:r>
              <w:rPr>
                <w:i/>
                <w:iCs/>
              </w:rPr>
              <w:t xml:space="preserve"> </w:t>
            </w:r>
            <w:r>
              <w:rPr>
                <w:i/>
                <w:iCs/>
              </w:rPr>
              <w:t xml:space="preserve">1: Increase in SWF density</w:t>
            </w:r>
            <w:r>
              <w:rPr>
                <w:i/>
                <w:iCs/>
              </w:rPr>
              <w:t xml:space="preserve"> </w:t>
            </w:r>
            <w:r>
              <w:rPr>
                <w:i/>
                <w:iCs/>
              </w:rPr>
              <w:t xml:space="preserve"> </w:t>
            </w:r>
            <w:r>
              <w:rPr>
                <w:i/>
                <w:iCs/>
              </w:rPr>
              <w:t xml:space="preserve">2: Decrease in SWF density</w:t>
            </w:r>
            <w:r>
              <w:rPr>
                <w:i/>
                <w:iCs/>
              </w:rPr>
              <w:t xml:space="preserve"> </w:t>
            </w:r>
            <w:r>
              <w:rPr>
                <w:i/>
                <w:iCs/>
              </w:rPr>
              <w:t xml:space="preserve"> </w:t>
            </w:r>
            <w:r>
              <w:rPr>
                <w:i/>
                <w:iCs/>
              </w:rPr>
              <w:t xml:space="preserve">201: Area covered by Forest Mask in 2018</w:t>
            </w:r>
            <w:r>
              <w:rPr>
                <w:i/>
                <w:iCs/>
              </w:rPr>
              <w:t xml:space="preserve"> </w:t>
            </w:r>
            <w:r>
              <w:rPr>
                <w:i/>
                <w:iCs/>
              </w:rPr>
              <w:t xml:space="preserve"> </w:t>
            </w:r>
            <w:r>
              <w:rPr>
                <w:i/>
                <w:iCs/>
              </w:rPr>
              <w:t xml:space="preserve">202: Area covered by Forest Mask in 2021</w:t>
            </w:r>
            <w:r>
              <w:rPr>
                <w:i/>
                <w:iCs/>
              </w:rPr>
              <w:t xml:space="preserve"> </w:t>
            </w:r>
            <w:r>
              <w:rPr>
                <w:i/>
                <w:iCs/>
              </w:rPr>
              <w:t xml:space="preserve"> </w:t>
            </w:r>
            <w:r>
              <w:rPr>
                <w:i/>
                <w:iCs/>
              </w:rPr>
              <w:t xml:space="preserve">203: Area covered by Forest Mask in 2018 &amp; 2021</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0"/>
    <w:bookmarkEnd w:id="71"/>
    <w:bookmarkStart w:id="77" w:name="auxiliary-layers-1"/>
    <w:p>
      <w:pPr>
        <w:pStyle w:val="Heading3"/>
      </w:pPr>
      <w:r>
        <w:t xml:space="preserve">7.3.3 Auxiliary Layers</w:t>
      </w:r>
    </w:p>
    <w:bookmarkStart w:id="72" w:name="parent-scene-identification-layer"/>
    <w:p>
      <w:pPr>
        <w:pStyle w:val="Heading5"/>
      </w:pPr>
      <w:r>
        <w:t xml:space="preserve">7.3.3.0.1 Parent scene identification layer</w:t>
      </w:r>
    </w:p>
    <w:p>
      <w:pPr>
        <w:pStyle w:val="FirstParagraph"/>
      </w:pPr>
      <w:r>
        <w:t xml:space="preserve">Table 7: Parent scene identification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Parent Scene Identification Layer</w:t>
            </w:r>
          </w:p>
        </w:tc>
      </w:tr>
      <w:tr>
        <w:tc>
          <w:tcPr/>
          <w:p>
            <w:pPr>
              <w:pStyle w:val="Compact"/>
            </w:pPr>
            <w:r>
              <w:t xml:space="preserve">Acronym</w:t>
            </w:r>
          </w:p>
        </w:tc>
        <w:tc>
          <w:tcPr/>
          <w:p>
            <w:pPr>
              <w:pStyle w:val="Compact"/>
            </w:pPr>
            <w:r>
              <w:t xml:space="preserve">PSIL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Earth Observation image used for SLF 2021 production</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w:t>
            </w:r>
          </w:p>
        </w:tc>
        <w:tc>
          <w:tcPr/>
          <w:p>
            <w:pPr>
              <w:pStyle w:val="Compact"/>
            </w:pPr>
            <w:r>
              <w:t xml:space="preserve">NA</w:t>
            </w:r>
          </w:p>
        </w:tc>
      </w:tr>
      <w:tr>
        <w:tc>
          <w:tcPr/>
          <w:p>
            <w:pPr>
              <w:pStyle w:val="Compact"/>
            </w:pPr>
            <w:r>
              <w:t xml:space="preserve">Minimum Mapping Width</w:t>
            </w:r>
          </w:p>
        </w:tc>
        <w:tc>
          <w:tcPr/>
          <w:p>
            <w:pPr>
              <w:pStyle w:val="Compact"/>
            </w:pPr>
            <w:r>
              <w:t xml:space="preserve">NA</w:t>
            </w:r>
          </w:p>
        </w:tc>
      </w:tr>
      <w:tr>
        <w:tc>
          <w:tcPr/>
          <w:p>
            <w:pPr>
              <w:pStyle w:val="Compact"/>
            </w:pPr>
            <w:r>
              <w:t xml:space="preserve">Vector classes</w:t>
            </w:r>
          </w:p>
        </w:tc>
        <w:tc>
          <w:tcPr/>
          <w:p>
            <w:pPr>
              <w:pStyle w:val="Compact"/>
            </w:pPr>
            <w:r>
              <w:t xml:space="preserve">Cf Annex I</w:t>
            </w:r>
          </w:p>
        </w:tc>
      </w:tr>
      <w:tr>
        <w:tc>
          <w:tcPr/>
          <w:p>
            <w:pPr>
              <w:pStyle w:val="Compact"/>
            </w:pPr>
            <w:r>
              <w:t xml:space="preserve">Attributes</w:t>
            </w:r>
          </w:p>
        </w:tc>
        <w:tc>
          <w:tcPr/>
          <w:p>
            <w:pPr>
              <w:pStyle w:val="Compact"/>
            </w:pPr>
            <w:r>
              <w:t xml:space="preserve">Cf Annex I</w:t>
            </w:r>
          </w:p>
        </w:tc>
      </w:tr>
      <w:tr>
        <w:tc>
          <w:tcPr/>
          <w:p>
            <w:pPr>
              <w:pStyle w:val="Compact"/>
            </w:pPr>
            <w:r>
              <w:t xml:space="preserve">Metadata</w:t>
            </w:r>
          </w:p>
        </w:tc>
        <w:tc>
          <w:tcPr/>
          <w:p>
            <w:pPr>
              <w:pStyle w:val="Compact"/>
            </w:pPr>
            <w:r>
              <w:t xml:space="preserve">XML metadata files according to INSPIRE metadata standards</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2"/>
    <w:bookmarkStart w:id="73" w:name="woody-vegetation-confidence-layer"/>
    <w:p>
      <w:pPr>
        <w:pStyle w:val="Heading5"/>
      </w:pPr>
      <w:r>
        <w:t xml:space="preserve">7.3.3.0.2 Woody Vegetation confidence layer</w:t>
      </w:r>
    </w:p>
    <w:p>
      <w:pPr>
        <w:pStyle w:val="FirstParagraph"/>
      </w:pPr>
      <w:r>
        <w:t xml:space="preserve">Table 8: Woody Vegetation confidence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Confidence Layer 2021 5m</w:t>
            </w:r>
          </w:p>
        </w:tc>
      </w:tr>
      <w:tr>
        <w:tc>
          <w:tcPr/>
          <w:p>
            <w:pPr>
              <w:pStyle w:val="Compact"/>
            </w:pPr>
            <w:r>
              <w:t xml:space="preserve">Acronym</w:t>
            </w:r>
          </w:p>
        </w:tc>
        <w:tc>
          <w:tcPr/>
          <w:p>
            <w:pPr>
              <w:pStyle w:val="Compact"/>
            </w:pPr>
            <w:r>
              <w:t xml:space="preserve">WVCL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Supplemental information about the product’s quality and reliance of mapped woody features (cf.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0-100: Confidence in WVL classification</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3"/>
    <w:bookmarkStart w:id="74" w:name="forest-mask-1"/>
    <w:p>
      <w:pPr>
        <w:pStyle w:val="Heading5"/>
      </w:pPr>
      <w:r>
        <w:t xml:space="preserve">7.3.3.0.3 Forest Mask</w:t>
      </w:r>
    </w:p>
    <w:p>
      <w:pPr>
        <w:pStyle w:val="FirstParagraph"/>
      </w:pPr>
      <w:r>
        <w:t xml:space="preserve">Table 9: Forest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Forest Mask 2021</w:t>
            </w:r>
          </w:p>
        </w:tc>
      </w:tr>
      <w:tr>
        <w:tc>
          <w:tcPr/>
          <w:p>
            <w:pPr>
              <w:pStyle w:val="Compact"/>
            </w:pPr>
            <w:r>
              <w:t xml:space="preserve">Acronym</w:t>
            </w:r>
          </w:p>
        </w:tc>
        <w:tc>
          <w:tcPr/>
          <w:p>
            <w:pPr>
              <w:pStyle w:val="Compact"/>
            </w:pPr>
            <w:r>
              <w:t xml:space="preserve">FM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Forest mask 2021 for exclusion of forested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Sentinel-2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5 ha</w:t>
            </w:r>
          </w:p>
        </w:tc>
      </w:tr>
      <w:tr>
        <w:tc>
          <w:tcPr/>
          <w:p>
            <w:pPr>
              <w:pStyle w:val="Compact"/>
            </w:pPr>
            <w:r>
              <w:t xml:space="preserve">Raster coding</w:t>
            </w:r>
          </w:p>
        </w:tc>
        <w:tc>
          <w:tcPr/>
          <w:p>
            <w:pPr>
              <w:pStyle w:val="Compact"/>
            </w:pPr>
            <w:r>
              <w:rPr>
                <w:i/>
                <w:iCs/>
              </w:rPr>
              <w:t xml:space="preserve">0: All non-forested covered areas</w:t>
            </w:r>
            <w:r>
              <w:rPr>
                <w:i/>
                <w:iCs/>
              </w:rPr>
              <w:t xml:space="preserve"> </w:t>
            </w:r>
            <w:r>
              <w:rPr>
                <w:i/>
                <w:iCs/>
              </w:rPr>
              <w:t xml:space="preserve"> </w:t>
            </w:r>
            <w:r>
              <w:rPr>
                <w:i/>
                <w:iCs/>
              </w:rPr>
              <w:t xml:space="preserve">1: Forest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4"/>
    <w:bookmarkStart w:id="75" w:name="crop-mask-1"/>
    <w:p>
      <w:pPr>
        <w:pStyle w:val="Heading5"/>
      </w:pPr>
      <w:r>
        <w:t xml:space="preserve">7.3.3.0.4 Crop Mask</w:t>
      </w:r>
    </w:p>
    <w:p>
      <w:pPr>
        <w:pStyle w:val="FirstParagraph"/>
      </w:pPr>
      <w:r>
        <w:t xml:space="preserve">Table 10: Crop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Crop Mask 2021</w:t>
            </w:r>
          </w:p>
        </w:tc>
      </w:tr>
      <w:tr>
        <w:tc>
          <w:tcPr/>
          <w:p>
            <w:pPr>
              <w:pStyle w:val="Compact"/>
            </w:pPr>
            <w:r>
              <w:t xml:space="preserve">Acronym</w:t>
            </w:r>
          </w:p>
        </w:tc>
        <w:tc>
          <w:tcPr/>
          <w:p>
            <w:pPr>
              <w:pStyle w:val="Compact"/>
            </w:pPr>
            <w:r>
              <w:t xml:space="preserve">CM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Crop mask 2021 for identification of crop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non-crop covered areas</w:t>
            </w:r>
            <w:r>
              <w:rPr>
                <w:i/>
                <w:iCs/>
              </w:rPr>
              <w:t xml:space="preserve"> </w:t>
            </w:r>
            <w:r>
              <w:rPr>
                <w:i/>
                <w:iCs/>
              </w:rPr>
              <w:t xml:space="preserve"> </w:t>
            </w:r>
            <w:r>
              <w:rPr>
                <w:i/>
                <w:iCs/>
              </w:rPr>
              <w:t xml:space="preserve">1: Crop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5"/>
    <w:bookmarkStart w:id="76" w:name="urban-mask"/>
    <w:p>
      <w:pPr>
        <w:pStyle w:val="Heading5"/>
      </w:pPr>
      <w:r>
        <w:t xml:space="preserve">7.3.3.0.5 Urban Mask</w:t>
      </w:r>
    </w:p>
    <w:p>
      <w:pPr>
        <w:pStyle w:val="FirstParagraph"/>
      </w:pPr>
      <w:r>
        <w:t xml:space="preserve">Table 11: Urban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Urban Mask 2021</w:t>
            </w:r>
          </w:p>
        </w:tc>
      </w:tr>
      <w:tr>
        <w:tc>
          <w:tcPr/>
          <w:p>
            <w:pPr>
              <w:pStyle w:val="Compact"/>
            </w:pPr>
            <w:r>
              <w:t xml:space="preserve">Acronym</w:t>
            </w:r>
          </w:p>
        </w:tc>
        <w:tc>
          <w:tcPr/>
          <w:p>
            <w:pPr>
              <w:pStyle w:val="Compact"/>
            </w:pPr>
            <w:r>
              <w:t xml:space="preserve">UM</w:t>
            </w:r>
          </w:p>
        </w:tc>
      </w:tr>
      <w:tr>
        <w:tc>
          <w:tcPr/>
          <w:p>
            <w:pPr>
              <w:pStyle w:val="Compact"/>
            </w:pPr>
            <w:r>
              <w:t xml:space="preserve">Product (group/family)</w:t>
            </w:r>
          </w:p>
        </w:tc>
        <w:tc>
          <w:tcPr/>
          <w:p>
            <w:pPr>
              <w:pStyle w:val="Compact"/>
            </w:pPr>
            <w:r>
              <w:t xml:space="preserve">Priority Area Monitoring</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Urban mask 2021 for identification of urban areas, based on Urban Atlas LUCL class 1</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Urban Atlas FUA</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Vector classes</w:t>
            </w:r>
          </w:p>
        </w:tc>
        <w:tc>
          <w:tcPr/>
          <w:p>
            <w:pPr>
              <w:pStyle w:val="Compact"/>
            </w:pPr>
            <w:r>
              <w:rPr>
                <w:i/>
                <w:iCs/>
              </w:rPr>
              <w:t xml:space="preserve">1: Urban Area</w:t>
            </w:r>
          </w:p>
        </w:tc>
      </w:tr>
      <w:tr>
        <w:tc>
          <w:tcPr/>
          <w:p>
            <w:pPr>
              <w:pStyle w:val="Compact"/>
            </w:pPr>
            <w:r>
              <w:t xml:space="preserve">Metadata</w:t>
            </w:r>
          </w:p>
        </w:tc>
        <w:tc>
          <w:tcPr/>
          <w:p>
            <w:pPr>
              <w:pStyle w:val="Compact"/>
            </w:pPr>
            <w:r>
              <w:t xml:space="preserve">XML metadata files according to INSPIRE metadata</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6"/>
    <w:bookmarkEnd w:id="77"/>
    <w:bookmarkStart w:id="80" w:name="reference-data-1"/>
    <w:p>
      <w:pPr>
        <w:pStyle w:val="Heading3"/>
      </w:pPr>
      <w:r>
        <w:t xml:space="preserve">7.3.4 Reference Data</w:t>
      </w:r>
    </w:p>
    <w:bookmarkStart w:id="78" w:name="training-dataset-vector"/>
    <w:p>
      <w:pPr>
        <w:pStyle w:val="Heading5"/>
      </w:pPr>
      <w:r>
        <w:t xml:space="preserve">7.3.4.0.1 Training dataset (vector)</w:t>
      </w:r>
    </w:p>
    <w:p>
      <w:pPr>
        <w:pStyle w:val="FirstParagraph"/>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8"/>
    <w:bookmarkStart w:id="79" w:name="validation-dataset-vector"/>
    <w:p>
      <w:pPr>
        <w:pStyle w:val="Heading5"/>
      </w:pPr>
      <w:r>
        <w:t xml:space="preserve">7.3.4.0.2 Validation dataset (vector)</w:t>
      </w:r>
    </w:p>
    <w:p>
      <w:pPr>
        <w:pStyle w:val="FirstParagraph"/>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9"/>
    <w:bookmarkEnd w:id="80"/>
    <w:bookmarkEnd w:id="81"/>
    <w:bookmarkStart w:id="85" w:name="known-thematic-overlaps-of-the-product"/>
    <w:p>
      <w:pPr>
        <w:pStyle w:val="Heading2"/>
      </w:pPr>
      <w:r>
        <w:t xml:space="preserve">7.4 Known thematic overlaps of the product</w:t>
      </w:r>
    </w:p>
    <w:p>
      <w:pPr>
        <w:pStyle w:val="FirstParagraph"/>
      </w:pPr>
      <w:r>
        <w:t xml:space="preserve">HRL SLF products present few thematic overlaps with other CLMS products.</w:t>
      </w:r>
    </w:p>
    <w:bookmarkStart w:id="82" w:name="woody-vegetation-layer-1"/>
    <w:p>
      <w:pPr>
        <w:pStyle w:val="Heading3"/>
      </w:pPr>
      <w:r>
        <w:t xml:space="preserve">7.4.1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82"/>
    <w:bookmarkStart w:id="83" w:name="small-woody-features-layers"/>
    <w:p>
      <w:pPr>
        <w:pStyle w:val="Heading3"/>
      </w:pPr>
      <w:r>
        <w:t xml:space="preserve">7.4.2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83"/>
    <w:bookmarkStart w:id="84" w:name="street-tree-layer-1"/>
    <w:p>
      <w:pPr>
        <w:pStyle w:val="Heading3"/>
      </w:pPr>
      <w:r>
        <w:t xml:space="preserve">7.4.3 Street Tree Layer</w:t>
      </w:r>
    </w:p>
    <w:p>
      <w:pPr>
        <w:pStyle w:val="FirstParagraph"/>
      </w:pPr>
      <w:r>
        <w:t xml:space="preserve">Focused on urban areas mapped by CLMS Urban Atlas, STL overlaps UA LULC product and provide additional information about presence of trees within cities.</w:t>
      </w:r>
    </w:p>
    <w:bookmarkEnd w:id="84"/>
    <w:bookmarkEnd w:id="85"/>
    <w:bookmarkEnd w:id="86"/>
    <w:bookmarkStart w:id="9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87"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87"/>
    <w:bookmarkStart w:id="88"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88"/>
    <w:bookmarkStart w:id="89"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89"/>
    <w:bookmarkStart w:id="90" w:name="change-layer-production"/>
    <w:p>
      <w:pPr>
        <w:pStyle w:val="Heading2"/>
      </w:pPr>
      <w:r>
        <w:t xml:space="preserve">8.4 Change Layer production</w:t>
      </w:r>
    </w:p>
    <w:p>
      <w:pPr>
        <w:pStyle w:val="FirstParagraph"/>
      </w:pPr>
      <w:r>
        <w:t xml:space="preserve">In progress.</w:t>
      </w:r>
    </w:p>
    <w:bookmarkEnd w:id="90"/>
    <w:bookmarkEnd w:id="91"/>
    <w:bookmarkStart w:id="100" w:name="Xa3c1452ea71086d407b5287beded3ebb3b0e676"/>
    <w:p>
      <w:pPr>
        <w:pStyle w:val="Heading1"/>
      </w:pPr>
      <w:r>
        <w:t xml:space="preserve">9. Terms of use and product technical support</w:t>
      </w:r>
    </w:p>
    <w:p>
      <w:pPr>
        <w:pStyle w:val="FirstParagraph"/>
      </w:pPr>
      <w:r>
        <w:t xml:space="preserve">Terms of use</w:t>
      </w:r>
    </w:p>
    <w:p>
      <w:pPr>
        <w:pStyle w:val="BodyText"/>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Start w:id="94" w:name="citation"/>
    <w:p>
      <w:pPr>
        <w:pStyle w:val="Heading2"/>
      </w:pPr>
      <w:r>
        <w:t xml:space="preserve">9.1 Citation</w:t>
      </w:r>
    </w:p>
    <w:p>
      <w:pPr>
        <w:pStyle w:val="FirstParagraph"/>
      </w:pPr>
      <w:r>
        <w:t xml:space="preserve">When planning to publish a publication (scientific, commercial, etc.),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w:t>
      </w:r>
    </w:p>
    <w:p>
      <w:pPr>
        <w:pStyle w:val="BodyText"/>
      </w:pPr>
      <w:r>
        <w:t xml:space="preserve">Monitoring Service,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92"/>
      </w:r>
    </w:p>
    <w:p>
      <w:pPr>
        <w:pStyle w:val="BodyText"/>
      </w:pPr>
      <w:r>
        <w:t xml:space="preserve">When redistributing a part of the Copernicus Land Monitoring Service (product, dataset, documentation, picture, web service, etc.), it should explicitly mentioned:</w:t>
      </w:r>
    </w:p>
    <w:p>
      <w:pPr>
        <w:pStyle w:val="BodyText"/>
      </w:pPr>
      <w:r>
        <w:t xml:space="preserve">“European Union’s Copernicus Land Monitoring Service information; &lt;insert all relevant DOI links here, if applicable&gt;”</w:t>
      </w:r>
    </w:p>
    <w:bookmarkEnd w:id="94"/>
    <w:bookmarkStart w:id="99" w:name="product-technical-support"/>
    <w:p>
      <w:pPr>
        <w:pStyle w:val="Heading2"/>
      </w:pPr>
      <w:r>
        <w:t xml:space="preserve">9.2 Product Technical support</w:t>
      </w:r>
    </w:p>
    <w:p>
      <w:pPr>
        <w:pStyle w:val="FirstParagraph"/>
      </w:pPr>
      <w:r>
        <w:t xml:space="preserve">Product technical support is provided by the product custodian through Copernicus Land Monitoring Service desk</w:t>
      </w:r>
      <w:r>
        <w:rPr>
          <w:rStyle w:val="FootnoteReference"/>
        </w:rPr>
        <w:footnoteReference w:id="95"/>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p>
      <w:pPr>
        <w:pStyle w:val="BodyText"/>
      </w:pPr>
      <w:r>
        <w:t xml:space="preserve">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97">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98">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99"/>
    <w:bookmarkEnd w:id="100"/>
    <w:bookmarkStart w:id="102" w:name="references"/>
    <w:p>
      <w:pPr>
        <w:pStyle w:val="Heading1"/>
      </w:pPr>
      <w:r>
        <w:t xml:space="preserve">10.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hyperlink r:id="rId101">
        <w:r>
          <w:rPr>
            <w:rStyle w:val="Hyperlink"/>
          </w:rPr>
          <w:t xml:space="preserve">https://doi.org/10.3390/land10101028</w:t>
        </w:r>
      </w:hyperlink>
    </w:p>
    <w:bookmarkEnd w:id="102"/>
    <w:bookmarkStart w:id="103" w:name="annexes"/>
    <w:p>
      <w:pPr>
        <w:pStyle w:val="Heading1"/>
      </w:pPr>
      <w:r>
        <w:t xml:space="preserve">11. Annexes</w:t>
      </w:r>
    </w:p>
    <w:p>
      <w:pPr>
        <w:pStyle w:val="FirstParagraph"/>
      </w:pPr>
      <w:r>
        <w:t xml:space="preserve">Table 12: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103"/>
    <w:bookmarkStart w:id="104"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r>
        <w:tc>
          <w:tcPr/>
          <w:p>
            <w:pPr>
              <w:pStyle w:val="Compact"/>
            </w:pPr>
            <w:r>
              <w:t xml:space="preserve">1.1</w:t>
            </w:r>
          </w:p>
        </w:tc>
        <w:tc>
          <w:tcPr/>
          <w:p>
            <w:pPr>
              <w:pStyle w:val="Compact"/>
            </w:pPr>
            <w:r>
              <w:t xml:space="preserve">04.11.2025</w:t>
            </w:r>
          </w:p>
        </w:tc>
        <w:tc>
          <w:tcPr/>
          <w:p>
            <w:pPr>
              <w:pStyle w:val="Compact"/>
            </w:pPr>
            <w:r>
              <w:t xml:space="preserve">First review</w:t>
            </w:r>
          </w:p>
        </w:tc>
      </w:tr>
    </w:tbl>
    <w:bookmarkEnd w:id="10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r>
        <w:t xml:space="preserve">Nextspace User Study:</w:t>
      </w:r>
      <w:r>
        <w:t xml:space="preserve"> </w:t>
      </w:r>
      <w:hyperlink r:id="rId33">
        <w:r>
          <w:rPr>
            <w:rStyle w:val="Hyperlink"/>
          </w:rPr>
          <w:t xml:space="preserve">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50">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1">
        <w:r>
          <w:rPr>
            <w:rStyle w:val="Hyperlink"/>
          </w:rPr>
          <w:t xml:space="preserve">https://www.fao.org/3/I8661EN/i8661en.pdf</w:t>
        </w:r>
      </w:hyperlink>
    </w:p>
  </w:footnote>
  <w:footnote w:id="92">
    <w:p>
      <w:pPr>
        <w:pStyle w:val="FootnoteText"/>
      </w:pPr>
      <w:r>
        <w:rPr>
          <w:rStyle w:val="FootnoteReference"/>
        </w:rPr>
        <w:footnoteRef/>
      </w:r>
      <w:r>
        <w:t xml:space="preserve"> </w:t>
      </w:r>
      <w:hyperlink r:id="rId93">
        <w:r>
          <w:rPr>
            <w:rStyle w:val="Hyperlink"/>
          </w:rPr>
          <w:t xml:space="preserve">Copernicus Land Monitoring Service – Data Policy</w:t>
        </w:r>
      </w:hyperlink>
    </w:p>
  </w:footnote>
  <w:footnote w:id="95">
    <w:p>
      <w:pPr>
        <w:pStyle w:val="FootnoteText"/>
      </w:pPr>
      <w:r>
        <w:rPr>
          <w:rStyle w:val="FootnoteReference"/>
        </w:rPr>
        <w:footnoteRef/>
      </w:r>
      <w:r>
        <w:t xml:space="preserve"> </w:t>
      </w:r>
      <w:hyperlink r:id="rId96">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 Product User Manual (PUM)</dc:title>
  <dc:creator/>
  <cp:category>products</cp:category>
  <dc:description>This Product User Manual (PUM) serves as a comprehensive guide for users of the Copernicus High-Resolution Layer Small Landscape Features (HRL SLF) product, specifically for the 2021 reference year. It provides detailed definitions and product specifications for the raster and vector layers dedicated to mapping woody vegetation, including forested areas, trees outside forests, and urban trees across 38 EEA member countries, the UK, and cooperating countries. The document focuses on understanding product features, quality indicators, usage guidelines and technical support available. It aims to equip users with the necessary information for effectively utilising HRL SLF data in various environmental monitoring and land management applications.</dc:description>
  <cp:keywords>High-Resolution Layer, Small Landscape Features, Woody Vegetation Layer, Street Tree Layer, Change Detection 2018-2021, Very High Resolution imagery, Sentinel-2 time series, Super Resolution algorithms, Forest Masking, Crop Mask</cp:keywords>
  <dcterms:created xsi:type="dcterms:W3CDTF">2026-02-24T10:33:24Z</dcterms:created>
  <dcterms:modified xsi:type="dcterms:W3CDTF">2026-02-24T10:33:24Z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2025-11-04</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High_Resolution_Layer/CLMS_PUM_HRLSLF_v1.1.qmd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1.1</vt:lpwstr>
  </property>
</Properties>
</file>