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t xml:space="preserve">https://land.copernicus.eu/en/products/vegetation</w:t>
      </w:r>
    </w:p>
  </w:footnote>
  <w:footnote w:id="74">
    <w:p>
      <w:pPr>
        <w:pStyle w:val="FootnoteText"/>
      </w:pPr>
      <w:r>
        <w:rPr>
          <w:rStyle w:val="FootnoteReference"/>
        </w:rPr>
        <w:footnoteRef/>
      </w:r>
      <w:r>
        <w:t xml:space="preserve"> </w:t>
      </w:r>
      <w:r>
        <w:t xml:space="preserve">https://land.copernicus.eu/en/products/vegetation</w:t>
      </w:r>
    </w:p>
  </w:footnote>
  <w:footnote w:id="75">
    <w:p>
      <w:pPr>
        <w:pStyle w:val="FootnoteText"/>
      </w:pPr>
      <w:r>
        <w:rPr>
          <w:rStyle w:val="FootnoteReference"/>
        </w:rPr>
        <w:footnoteRef/>
      </w:r>
      <w:r>
        <w:t xml:space="preserve"> </w:t>
      </w:r>
      <w: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Copernicus Land Monitoring Service (CLMS) High-Resolution Vegetated Land Cover Characteristics (HRL VLCC) products. These products offer detailed annual maps and change layers for Tree Cover &amp; Forests, Grasslands, and Croplands at 10-meter and 20-meter resolutions. The document details the processing workflows, from input data such as Sentinel-2 imagery to the generation of final product layers, including the Base Vegetation Layer (BVL), Tree Cover Density (TCD), Herbaceous Cover (HER), and Crop Type (CTY). It also addresses encountered issues, known limitations, and provides confidence layers to aid users in effective application of the products.</dc:description>
  <cp:keywords>Base Vegetation Layer, Temporal Convolutional Neural Network, Tree Cover Density, Dominant Leaf Type, Herbaceous Cover, Ploughing Indicator, Dynamic Time Warp, Grassland Mowing Events, Crop Type classification, fAPAR timeseries</cp:keywords>
  <dcterms:created xsi:type="dcterms:W3CDTF">2026-01-27T12:42:03Z</dcterms:created>
  <dcterms:modified xsi:type="dcterms:W3CDTF">2026-01-27T12:42:03Z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