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overview of the methodologies and algorithms employed in creating the High-Resolution Vegetated Land Cover Characteristics (HRL VLCC) products for the Copernicus Land Monitoring Service (CLMS). It details the production of annual status and change layers for Tree Cover &amp; Forests, Grasslands, and Croplands, leveraging multi-source satellite data, including Sentinel-2 imagery. The document explains the Base Vegetation Layer (BVL), key agricultural monitoring capabilities, and post-classification processing steps, offering essential insights for users applying these products.</dc:description>
  <cp:keywords>Base Vegetation Layer, Sentinel-2 imagery, land cover classification, Temporal Convolutional Neural Network, Tree Cover Density, Dominant Leaf Type, Ploughing Indicator, Grassland Mowing Events, Crop Type, fraction of Absorbed Photosynthetic Active Radiation</cp:keywords>
  <dcterms:created xsi:type="dcterms:W3CDTF">2026-02-24T11:59:54Z</dcterms:created>
  <dcterms:modified xsi:type="dcterms:W3CDTF">2026-02-24T11:59:54Z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