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2012-2018 - Product User Manual (PUM)</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Product_User_Manual-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Product_User_Manual-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Product_User_Manual-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Product_User_Manual-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Product_User_Manual-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Product_User_Manual-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Product_User_Manual-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Product_User_Manual-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Product_User_Manual-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Product_User_Manual-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Product_User_Manual-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Product_User_Manual-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Product_User_Manual-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Product_User_Manual-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2012-2018 - Product User Manual (PUM)</dc:title>
  <dc:creator/>
  <cp:category>products</cp:category>
  <dc:description>This document, the Urban Atlas Product User Manual, serves as a comprehensive guide for service providers involved in generating standardised land use and land cover maps within the Copernicus Urban Atlas programme. It focuses on the 2012 and 2018 reference years, encompassing over 800 Functional Urban Areas across Europe and neighbouring countries. The manual details mapping guidelines, nomenclature, product specifications, and quality assurance procedures to ensure congruent, comparable, and high-quality Urban Atlas products.</dc:description>
  <cp:keywords>Functional Urban Areas, Land Use/Land Cover classification, Minimum Mapping Unit, Digital Height Model, Street Tree Layer, Imperviousness Degree, ETRS89 Lambert Azimuthal Equal Area, geometric adaptation, change detection, overall classification accuracy</cp:keywords>
  <dcterms:created xsi:type="dcterms:W3CDTF">2025-10-06T09:28:44Z</dcterms:created>
  <dcterms:modified xsi:type="dcterms:W3CDTF">2025-10-06T09:28:44Z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6.3</vt:lpwstr>
  </property>
</Properties>
</file>