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3.xml" ContentType="application/vnd.openxmlformats-officedocument.wordprocessingml.footer+xml"/>
  <Override PartName="/word/footer2.xml" ContentType="application/vnd.openxmlformats-officedocument.wordprocessingml.footer+xml"/>
  <Override PartName="/word/footer1.xml" ContentType="application/vnd.openxmlformats-officedocument.wordprocessingml.footer+xml"/>
  <Override PartName="/word/media/rId57.png" ContentType="image/png"/>
  <Override PartName="/word/media/rId116.png" ContentType="image/png"/>
  <Override PartName="/word/media/rId119.png" ContentType="image/png"/>
  <Override PartName="/word/media/rId122.png" ContentType="image/png"/>
  <Override PartName="/word/media/rId45.png" ContentType="image/png"/>
  <Override PartName="/word/media/rId48.png" ContentType="image/png"/>
  <Override PartName="/word/media/rId60.png" ContentType="image/png"/>
  <Override PartName="/word/media/rId63.png" ContentType="image/png"/>
  <Override PartName="/word/media/rId70.png" ContentType="image/png"/>
  <Override PartName="/word/media/rId73.png" ContentType="image/png"/>
  <Override PartName="/word/media/rId76.png" ContentType="image/png"/>
  <Override PartName="/word/media/rId79.jpg" ContentType="image/jpeg"/>
  <Override PartName="/word/media/rId82.jpg" ContentType="image/jpeg"/>
  <Override PartName="/word/media/rId85.jpg" ContentType="image/jpeg"/>
  <Override PartName="/word/media/rId88.jpg" ContentType="image/jpeg"/>
  <Override PartName="/word/media/rId91.jpg" ContentType="image/jpeg"/>
  <Override PartName="/word/media/rId94.jpg" ContentType="image/jpeg"/>
  <Override PartName="/word/media/rId97.jpg" ContentType="image/jpeg"/>
  <Override PartName="/word/media/rId100.png" ContentType="image/png"/>
  <Override PartName="/word/media/rId104.png" ContentType="image/png"/>
  <Override PartName="/word/media/rId108.png" ContentType="image/png"/>
  <Override PartName="/word/media/rId111.png" ContentType="image/png"/>
  <Override PartName="/word/media/rId127.png" ContentType="image/png"/>
  <Override PartName="/word/media/rId131.png" ContentType="image/png"/>
  <Override PartName="/word/media/rId134.png" ContentType="image/png"/>
  <Override PartName="/word/media/rId137.png" ContentType="image/png"/>
  <Override PartName="/word/media/rId140.png" ContentType="image/png"/>
  <Override PartName="/word/media/rId29.png" ContentType="image/png"/>
  <Override PartName="/word/media/rId32.png" ContentType="image/png"/>
  <Override PartName="/word/media/rId35.png" ContentType="image/png"/>
  <Override PartName="/word/media/rId39.png" ContentType="image/png"/>
  <Override PartName="/word/media/rId42.png" ContentType="image/png"/>
  <Override PartName="/word/media/image1.png" ContentType="image/png"/>
  <Override PartName="/word/media/image2.png" ContentType="image/png"/>
  <Override PartName="/word/media/image3.png" ContentType="image/png"/>
  <Override PartName="/word/media/image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N2K - Product User Manual (PUM)</w:t>
      </w:r>
    </w:p>
    <w:p>
      <w:pPr>
        <w:pStyle w:val="Subtitle"/>
      </w:pPr>
      <w:r>
        <w:t xml:space="preserve">Copernicus Land Monitoring Service</w:t>
      </w:r>
    </w:p>
    <w:p>
      <w:pPr>
        <w:pStyle w:val="Date"/>
      </w:pPr>
      <w:r>
        <w:t xml:space="preserve">2021-12-01</w:t>
      </w:r>
    </w:p>
    <w:sdt>
      <w:sdtPr>
        <w:docPartObj>
          <w:docPartGallery w:val="Table of Contents"/>
          <w:docPartUnique/>
        </w:docPartObj>
      </w:sdtPr>
      <w:sdtContent>
        <w:p>
          <w:pPr>
            <w:pStyle w:val="TOCHeading"/>
          </w:pPr>
          <w:r>
            <w:t xml:space="preserve">Content</w:t>
          </w:r>
        </w:p>
        <w:p>
          <w:r>
            <w:fldChar w:fldCharType="begin" w:dirty="true"/>
            <w:instrText xml:space="preserve">TOC \o "1-3" \h \z \u</w:instrText>
            <w:fldChar w:fldCharType="separate"/>
            <w:fldChar w:fldCharType="end"/>
          </w:r>
        </w:p>
      </w:sdtContent>
    </w:sdt>
    <w:p>
      <w:pPr>
        <w:pStyle w:val="FirstParagraph"/>
      </w:pPr>
      <w:r>
        <w:br/>
      </w:r>
      <w:r>
        <w:rPr>
          <w:b/>
          <w:bCs/>
        </w:rPr>
        <w:t xml:space="preserve">Contact:</w:t>
      </w:r>
    </w:p>
    <w:p>
      <w:pPr>
        <w:pStyle w:val="LeftAlign"/>
      </w:pPr>
      <w:r>
        <w:t xml:space="preserve">European Environment Agency (EEA)</w:t>
      </w:r>
      <w:r>
        <w:br/>
      </w:r>
      <w:r>
        <w:t xml:space="preserve">Kongens Nytorv 6</w:t>
      </w:r>
      <w:r>
        <w:br/>
      </w:r>
      <w:r>
        <w:t xml:space="preserve">1050 Copenhagen K</w:t>
      </w:r>
      <w:r>
        <w:br/>
      </w:r>
      <w:r>
        <w:t xml:space="preserve">Denmark</w:t>
      </w:r>
      <w:r>
        <w:br/>
      </w:r>
      <w:hyperlink r:id="rId20">
        <w:r>
          <w:rPr>
            <w:rStyle w:val="Hyperlink"/>
            <w:b/>
            <w:bCs/>
          </w:rPr>
          <w:t xml:space="preserve">https://land.copernicus.eu/</w:t>
        </w:r>
      </w:hyperlink>
    </w:p>
    <w:p>
      <w:r>
        <w:br w:type="page"/>
      </w:r>
    </w:p>
    <w:bookmarkStart w:id="21" w:name="executive-summary"/>
    <w:p>
      <w:pPr>
        <w:pStyle w:val="Heading1"/>
      </w:pPr>
      <w:r>
        <w:t xml:space="preserve">1. Executive summary</w:t>
      </w:r>
    </w:p>
    <w:p>
      <w:pPr>
        <w:pStyle w:val="FirstParagraph"/>
      </w:pPr>
      <w:r>
        <w:t xml:space="preserve">Copernicus is the European Union's Earth Observation Programme. It offers information services based on satellite Earth observation and in situ (non-space) data. These information services are</w:t>
      </w:r>
      <w:r>
        <w:t xml:space="preserve"> </w:t>
      </w:r>
      <w:r>
        <w:rPr>
          <w:b/>
          <w:bCs/>
        </w:rPr>
        <w:t xml:space="preserve">freely</w:t>
      </w:r>
      <w:r>
        <w:t xml:space="preserve"> </w:t>
      </w:r>
      <w:r>
        <w:t xml:space="preserve">and</w:t>
      </w:r>
      <w:r>
        <w:t xml:space="preserve"> </w:t>
      </w:r>
      <w:r>
        <w:rPr>
          <w:b/>
          <w:bCs/>
        </w:rPr>
        <w:t xml:space="preserve">openly</w:t>
      </w:r>
      <w:r>
        <w:t xml:space="preserve"> </w:t>
      </w:r>
      <w:r>
        <w:t xml:space="preserve">accessible to its users through six thematic Copernicus services (atmosphere monitoring, marine environment monitoring, land monitoring, climate change, emergency management and security).</w:t>
      </w:r>
    </w:p>
    <w:p>
      <w:pPr>
        <w:pStyle w:val="BodyText"/>
      </w:pPr>
      <w:r>
        <w:t xml:space="preserve">The Copernicus Land Monitoring Service (CLMS) provides geographical information on land cover and its changes, land use, vegetation state, water cycle and earth surface energy variables to a broad range of users in Europe and across the world in the field of environmental terrestrial applications.</w:t>
      </w:r>
    </w:p>
    <w:p>
      <w:pPr>
        <w:pStyle w:val="BodyText"/>
      </w:pPr>
      <w:r>
        <w:t xml:space="preserve">CLMS is jointly implemented by the European Environment Agency and the European Commission DG Joint Research Centre (JRC).</w:t>
      </w:r>
    </w:p>
    <w:p>
      <w:pPr>
        <w:pStyle w:val="BodyText"/>
      </w:pPr>
      <w:r>
        <w:t xml:space="preserve">The local component as part of the CLMS is coordinated by the European Environment Agency and aims to provide specific and more detailed information that is complementary to the information obtained through the Pan-European component. The local component focuses on different hotspots, i.e. areas that are prone to specific environmental challenges and problems. It is based on very high-resolution imagery in combination with other available datasets (high and medium resolution images) over the pan-European area.</w:t>
      </w:r>
    </w:p>
    <w:p>
      <w:pPr>
        <w:pStyle w:val="BodyText"/>
      </w:pPr>
      <w:r>
        <w:t xml:space="preserve">Natura 2000 sites are important hotspots for nature conservation therefore, the objective of the</w:t>
      </w:r>
      <w:r>
        <w:t xml:space="preserve"> </w:t>
      </w:r>
      <w:r>
        <w:rPr>
          <w:b/>
          <w:bCs/>
        </w:rPr>
        <w:t xml:space="preserve">N2K product of CLMS</w:t>
      </w:r>
      <w:r>
        <w:t xml:space="preserve"> </w:t>
      </w:r>
      <w:r>
        <w:t xml:space="preserve">is to provide detailed Land Cover / Land Use (LC/LU ) mapping results, covering a large number (4.790) of grassland-rich Natura 2000 sites. The selection of Natura 2000 sites to be mapped has been prioritized on the basis of occurrence of 32 different grassland habitat types across Europe, as defined by Annex I of the Habitats Directive (Council Directive 92/43/EEC).</w:t>
      </w:r>
    </w:p>
    <w:p>
      <w:pPr>
        <w:pStyle w:val="BodyText"/>
      </w:pPr>
      <w:r>
        <w:t xml:space="preserve">The aim of the N2K product is to assess whether those selected sites are being effectively preserved and if a decline of certain grassland habitat types is being halted.</w:t>
      </w:r>
    </w:p>
    <w:p>
      <w:pPr>
        <w:pStyle w:val="BodyText"/>
      </w:pPr>
      <w:r>
        <w:t xml:space="preserve">The service covers 631,820 km2 of land surface across Europe for three reference years: 2006, 2012 and 2018. The reference year 2018 was released together with a revised version of the 2006 and 2012 databases. For each Natura 2000 site, the mapping also covers a 2 km buffer zone.</w:t>
      </w:r>
    </w:p>
    <w:p>
      <w:pPr>
        <w:pStyle w:val="BodyText"/>
      </w:pPr>
      <w:r>
        <w:t xml:space="preserve">This is a unique product with a high level of detail (Minimum Mapping Unit (MMU) is 0.5 ha), based on Very High Resolution (VHR) satellite data. The classification provides 55 distinct thematic classes and the class definitions follow a pre-defined nomenclature based on the Mapping and Assessment of Ecosystems and their Services typology of ecosystems (at level 1) and are further harmonised with Corine Land Cover and adapted to the specific characteristics of grasslands habitats (levels 2 to 4). It offers two types of products: status maps for the three reference years and two change products for the two reference periods.</w:t>
      </w:r>
    </w:p>
    <w:p>
      <w:pPr>
        <w:pStyle w:val="BodyText"/>
      </w:pPr>
      <w:r>
        <w:t xml:space="preserve">The N2K product offers a good basis to analyse the LC/LU situation in grassland-rich Natura 2000 sites and furthermore allows to devise the general trends and change factors within the sites through the observation periods, as well as within the buffer zone surrounding those.</w:t>
      </w:r>
    </w:p>
    <w:p>
      <w:pPr>
        <w:pStyle w:val="BodyText"/>
      </w:pPr>
      <w:r>
        <w:t xml:space="preserve">Hereinafter referred to as</w:t>
      </w:r>
      <w:r>
        <w:t xml:space="preserve"> </w:t>
      </w:r>
      <w:r>
        <w:t xml:space="preserve">“</w:t>
      </w:r>
      <w:r>
        <w:rPr>
          <w:b/>
          <w:bCs/>
        </w:rPr>
        <w:t xml:space="preserve">CLMS N2K</w:t>
      </w:r>
      <w:r>
        <w:t xml:space="preserve">”</w:t>
      </w:r>
      <w:r>
        <w:t xml:space="preserve">, a LC/LU product in a selection of Natura 2000 sites.</w:t>
      </w:r>
    </w:p>
    <w:p>
      <w:r>
        <w:br w:type="page"/>
      </w:r>
    </w:p>
    <w:bookmarkEnd w:id="21"/>
    <w:bookmarkStart w:id="27" w:name="guide-for-the-reader"/>
    <w:p>
      <w:pPr>
        <w:pStyle w:val="Heading1"/>
      </w:pPr>
      <w:r>
        <w:t xml:space="preserve">2. Guide for the reader</w:t>
      </w:r>
    </w:p>
    <w:bookmarkStart w:id="22" w:name="who-is-this-guide-for"/>
    <w:p>
      <w:pPr>
        <w:pStyle w:val="Heading2"/>
      </w:pPr>
      <w:r>
        <w:t xml:space="preserve">2.1 Who is this guide for</w:t>
      </w:r>
    </w:p>
    <w:p>
      <w:pPr>
        <w:pStyle w:val="FirstParagraph"/>
      </w:pPr>
      <w:r>
        <w:t xml:space="preserve">This Product User Manual is the primary document that users are recommended to read before using the N2K product. It provides an overview of the product characteristics, product methodology and workflows, user requirements and example/potential use cases, information about the quality assessment checks and their results as well as product technical support.</w:t>
      </w:r>
    </w:p>
    <w:bookmarkEnd w:id="22"/>
    <w:bookmarkStart w:id="23" w:name="content-and-structure"/>
    <w:p>
      <w:pPr>
        <w:pStyle w:val="Heading2"/>
      </w:pPr>
      <w:r>
        <w:t xml:space="preserve">2.2 Content and structure</w:t>
      </w:r>
    </w:p>
    <w:p>
      <w:pPr>
        <w:pStyle w:val="FirstParagraph"/>
      </w:pPr>
      <w:r>
        <w:t xml:space="preserve">The document is structured as follows:</w:t>
      </w:r>
    </w:p>
    <w:p>
      <w:pPr>
        <w:numPr>
          <w:ilvl w:val="0"/>
          <w:numId w:val="1001"/>
        </w:numPr>
      </w:pPr>
      <w:r>
        <w:t xml:space="preserve">Chapter 3 recalls the user requirements</w:t>
      </w:r>
    </w:p>
    <w:p>
      <w:pPr>
        <w:numPr>
          <w:ilvl w:val="0"/>
          <w:numId w:val="1001"/>
        </w:numPr>
      </w:pPr>
      <w:r>
        <w:t xml:space="preserve">Chapter 4 presents potential application areas and/or use cases examples</w:t>
      </w:r>
    </w:p>
    <w:p>
      <w:pPr>
        <w:numPr>
          <w:ilvl w:val="0"/>
          <w:numId w:val="1001"/>
        </w:numPr>
      </w:pPr>
      <w:r>
        <w:t xml:space="preserve">Chapter 5 presents the product description (product content and characteristics, file naming convention and format(s))</w:t>
      </w:r>
    </w:p>
    <w:p>
      <w:pPr>
        <w:numPr>
          <w:ilvl w:val="0"/>
          <w:numId w:val="1001"/>
        </w:numPr>
      </w:pPr>
      <w:r>
        <w:t xml:space="preserve">Chapter 6 provides a description of the methodology and production workflows</w:t>
      </w:r>
    </w:p>
    <w:p>
      <w:pPr>
        <w:numPr>
          <w:ilvl w:val="0"/>
          <w:numId w:val="1001"/>
        </w:numPr>
      </w:pPr>
      <w:r>
        <w:t xml:space="preserve">Chapter 7 summarizes the quality assessment and/or validation procedure and results</w:t>
      </w:r>
    </w:p>
    <w:p>
      <w:pPr>
        <w:numPr>
          <w:ilvl w:val="0"/>
          <w:numId w:val="1001"/>
        </w:numPr>
      </w:pPr>
      <w:r>
        <w:t xml:space="preserve">Chapter 8 provides information about product access and use conditions as well as the technical product support</w:t>
      </w:r>
    </w:p>
    <w:p>
      <w:pPr>
        <w:numPr>
          <w:ilvl w:val="0"/>
          <w:numId w:val="1001"/>
        </w:numPr>
      </w:pPr>
      <w:r>
        <w:t xml:space="preserve">Chapter 9 lists references to the cited literature</w:t>
      </w:r>
    </w:p>
    <w:p>
      <w:pPr>
        <w:numPr>
          <w:ilvl w:val="0"/>
          <w:numId w:val="1001"/>
        </w:numPr>
      </w:pPr>
      <w:r>
        <w:t xml:space="preserve">Chapter 10 provides annexes</w:t>
      </w:r>
    </w:p>
    <w:bookmarkEnd w:id="23"/>
    <w:bookmarkStart w:id="26" w:name="applicable-documents"/>
    <w:p>
      <w:pPr>
        <w:pStyle w:val="Heading2"/>
      </w:pPr>
      <w:r>
        <w:t xml:space="preserve">2.3 Applicable documents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rPr>
                <w:b/>
                <w:bCs/>
              </w:rPr>
              <w:t xml:space="preserve">ID</w:t>
            </w:r>
          </w:p>
        </w:tc>
        <w:tc>
          <w:tcPr/>
          <w:p>
            <w:pPr>
              <w:pStyle w:val="Compact"/>
            </w:pPr>
            <w:r>
              <w:rPr>
                <w:b/>
                <w:bCs/>
              </w:rPr>
              <w:t xml:space="preserve">Document Name / Content</w:t>
            </w:r>
          </w:p>
        </w:tc>
      </w:tr>
      <w:tr>
        <w:tc>
          <w:tcPr/>
          <w:p>
            <w:pPr>
              <w:pStyle w:val="Compact"/>
            </w:pPr>
            <w:r>
              <w:t xml:space="preserve">AD 01</w:t>
            </w:r>
          </w:p>
        </w:tc>
        <w:tc>
          <w:tcPr/>
          <w:p>
            <w:pPr>
              <w:pStyle w:val="BodyText"/>
            </w:pPr>
            <w:r>
              <w:t xml:space="preserve">CLMS N2K Nomenclature and Mapping Guideline (Issue 1.4, Date Issued: 03/05/2021)</w:t>
            </w:r>
          </w:p>
          <w:p>
            <w:pPr>
              <w:pStyle w:val="BodyText"/>
            </w:pPr>
            <w:hyperlink r:id="rId24">
              <w:r>
                <w:rPr>
                  <w:rStyle w:val="Hyperlink"/>
                </w:rPr>
                <w:t xml:space="preserve">NOMENCLATURE and MAPPING GUIDELINE (copernicus.eu)</w:t>
              </w:r>
            </w:hyperlink>
          </w:p>
        </w:tc>
      </w:tr>
      <w:tr>
        <w:tc>
          <w:tcPr/>
          <w:p>
            <w:pPr>
              <w:pStyle w:val="Compact"/>
            </w:pPr>
            <w:r>
              <w:t xml:space="preserve">AD 02</w:t>
            </w:r>
          </w:p>
        </w:tc>
        <w:tc>
          <w:tcPr/>
          <w:p>
            <w:pPr>
              <w:pStyle w:val="BodyText"/>
            </w:pPr>
            <w:r>
              <w:t xml:space="preserve">N2K validation report (2006 and 2012 databases)</w:t>
            </w:r>
          </w:p>
          <w:p>
            <w:pPr>
              <w:pStyle w:val="BodyText"/>
            </w:pPr>
            <w:hyperlink r:id="rId25">
              <w:r>
                <w:rPr>
                  <w:rStyle w:val="Hyperlink"/>
                </w:rPr>
                <w:t xml:space="preserve">Framework service contract for the GMES Initial Operations / Copernicus Land monitoring services – Validation of products</w:t>
              </w:r>
            </w:hyperlink>
          </w:p>
        </w:tc>
      </w:tr>
    </w:tbl>
    <w:p>
      <w:r>
        <w:br w:type="page"/>
      </w:r>
    </w:p>
    <w:bookmarkEnd w:id="26"/>
    <w:bookmarkEnd w:id="27"/>
    <w:bookmarkStart w:id="28" w:name="review-of-user-requirements"/>
    <w:p>
      <w:pPr>
        <w:pStyle w:val="Heading1"/>
      </w:pPr>
      <w:r>
        <w:t xml:space="preserve">3. Review of user requirements</w:t>
      </w:r>
    </w:p>
    <w:p>
      <w:pPr>
        <w:pStyle w:val="FirstParagraph"/>
      </w:pPr>
      <w:r>
        <w:t xml:space="preserve">The European Commission has been systematically collecting user needs for Copernicus products and services, expressed in different policy areas. Information on specific aspects of land cover, land use and changes such as provided by this CLMS N2K product are an essential prerequisite to support many policies, reporting and monitoring obligations (EC 2019).</w:t>
      </w:r>
    </w:p>
    <w:p>
      <w:pPr>
        <w:pStyle w:val="BodyText"/>
      </w:pPr>
      <w:r>
        <w:t xml:space="preserve">The reference baseline for mapping land cover and land use (LC/LU ) on the European scale has been the Corine Land Cover classification (Coordination of Information on the Environment Land Cover, CLC) (EEA 1995). It provides a LC/LU time series starting in 1990 at an original scale of 1: 100 000, a minimum spatial resolution of 25ha (5ha for LC/LU changes) and using 44 classes of the 3-level Corine nomenclature. It is supported by additional thematic High Resolution Layers (HRL) providing raster based information at 20 and recently at 10m pixel size on various aspects of the European land cover (e.g. imperviousness degree, forest and grassland cover).</w:t>
      </w:r>
    </w:p>
    <w:p>
      <w:pPr>
        <w:pStyle w:val="BodyText"/>
      </w:pPr>
      <w:r>
        <w:t xml:space="preserve">The CLMS N2K supplements these reference mapping products with higher thematic details and spatial resolution. It focuses on a selection of the Natura 2000 network of sites and provides a LC/LU time series at 0.5ha resolution, expressed in a detailed nomenclature of 55 classes.</w:t>
      </w:r>
    </w:p>
    <w:p>
      <w:pPr>
        <w:pStyle w:val="BodyText"/>
      </w:pPr>
      <w:r>
        <w:t xml:space="preserve">The central aim of the Natura 2000 protected areas network is to ensure the long-term survival of Europe's most valuable and threatened species and habitats. Information is still lacking on the effectiveness of conservation measures in Europe’s protected areas and how well biodiversity is protected there (EEA 2019, p.79). The CLMS N2K helps to fill these gaps through objective and European-wide harmonised information on LC/LU trends within and in the vicinity of grassland-rich Natura 2000 sites. It directly supports the analysis of trends and progress in stopping the ongoing loss of biodiversity in Europe.</w:t>
      </w:r>
    </w:p>
    <w:p>
      <w:pPr>
        <w:pStyle w:val="BodyText"/>
      </w:pPr>
      <w:r>
        <w:t xml:space="preserve">Particularly grasslands are affected by changing agricultural management and land conversion (EEA 2019). Land cover changes can be monitored with this product for the existing time series 2006-2012-2018. This can help to monitor biodiversity health as proposed by the GEOBON working group of the Group on Earth Observation (GEO). The CLMS N2K product can provide information for indicators such as land abandonment, intensification/extensification within agriculture as well as landscape context maps indicating overall landscape configuration or fragmentation.</w:t>
      </w:r>
    </w:p>
    <w:p>
      <w:pPr>
        <w:pStyle w:val="BodyText"/>
      </w:pPr>
      <w:r>
        <w:t xml:space="preserve">The new EU Biodiversity Strategy for 2030 makes it clear that for the good of our environment and our economy additional efforts are needed, to deal with the five main direct drivers of biodiversity loss – changes in land and sea use, overexploitation, climate change, pollution, and invasive alien species.</w:t>
      </w:r>
    </w:p>
    <w:p>
      <w:pPr>
        <w:pStyle w:val="BodyText"/>
      </w:pPr>
      <w:r>
        <w:t xml:space="preserve">The CLMS N2K products supports the EU Biodiversity Strategy 2030 with specific focus on areas of very high biodiversity value or potential.</w:t>
      </w:r>
    </w:p>
    <w:p>
      <w:r>
        <w:br w:type="page"/>
      </w:r>
    </w:p>
    <w:bookmarkEnd w:id="28"/>
    <w:bookmarkStart w:id="56" w:name="X3b0a4e4b28af08a6721b7aa1239a31243e36dab"/>
    <w:p>
      <w:pPr>
        <w:pStyle w:val="Heading1"/>
      </w:pPr>
      <w:r>
        <w:t xml:space="preserve">4. Product application areas and/or examples of use cases</w:t>
      </w:r>
    </w:p>
    <w:bookmarkStart w:id="38" w:name="Xdfa58e86e9bd0f4c81fee736379a7f78f115e85"/>
    <w:p>
      <w:pPr>
        <w:pStyle w:val="Heading2"/>
      </w:pPr>
      <w:r>
        <w:t xml:space="preserve">4.1 Use case: Grassland LC/LU changes and trends analysis in Natura 2000 sites</w:t>
      </w:r>
    </w:p>
    <w:p>
      <w:pPr>
        <w:pStyle w:val="FirstParagraph"/>
      </w:pPr>
      <w:r>
        <w:t xml:space="preserve">Established under the EU Habitats and Birds Directives, Natura 2000 is the world's largest ecological network of protected areas, a network of key breeding and resting places for rare and endangered species. In addition to the focus on species, the network also aims at protecting more than 200 different Natural habitat types. The network covers about 18% of the EU's land area throughout all 27 EU Member States. It is not a system of strict nature reserves from which all human activities would be excluded. While it includes strictly protected areas, most of the land remains privately owned and managed. EU Member States must ensure that the sites are managed in a sustainable manner to prevent significant impacts on species and habitats for which the sites have been designated. It is part of the policy strategy to conserve Europe's biodiversity and was established on the legal requirements of the Habitats Directive and the Birds Directive.</w:t>
      </w:r>
    </w:p>
    <w:p>
      <w:pPr>
        <w:pStyle w:val="BodyText"/>
      </w:pPr>
      <w:r>
        <w:t xml:space="preserve">Grassland ecosystems are highly biodiverse and species-rich vegetation types, providing a range of ecosystem services. The selection of Natura 2000 sites mapped was prioritized on the basis of occurrence of 32 different grassland habitat types across Europe, as defined by Annex I of the Habitats Directive (Council Directive 92/43/EEC).</w:t>
      </w:r>
    </w:p>
    <w:p>
      <w:pPr>
        <w:pStyle w:val="BodyText"/>
      </w:pPr>
      <w:r>
        <w:t xml:space="preserve">Based on a comparative assessment of the N2K product, reference years 2006, 2012 and 2018, LC/LU changes and trends were analysed within the selected Natura 2000 sites and their two km buffer zone.</w:t>
      </w:r>
    </w:p>
    <w:p>
      <w:pPr>
        <w:pStyle w:val="BodyText"/>
      </w:pPr>
      <w:r>
        <w:t xml:space="preserve">Due to the known strong decrease of grassland habitats, the focus of the analysis relied especially on semi-Natural and Natural grasslands, as they are vulnerable to different pressures such as intensification of agriculture and grassland management, land abandonment, shrub encroachment, afforestation, urbanisation and several more.</w:t>
      </w:r>
    </w:p>
    <w:p>
      <w:pPr>
        <w:pStyle w:val="BodyText"/>
      </w:pPr>
      <w:r>
        <w:t xml:space="preserve">The assessment was based on the mapping of land cover/land use as well as changes between the three reference years 2006, 2012 and 2018 of the selected Natura 2000 sites, including a 2 km buffer zone around each site, to form the total N2K product coverage of around 631.820 km² across Europe.</w:t>
      </w:r>
    </w:p>
    <w:p>
      <w:pPr>
        <w:pStyle w:val="BodyText"/>
      </w:pPr>
      <w:r>
        <w:t xml:space="preserve">The assessment of the Grassland Habitat Types concentrated on the grassland areas and its changes. LC/LU changes are associated with the following Land Cover Change Groups (LCGs), defined in close cooperation with representatives from DG ENV and EEA:</w:t>
      </w:r>
    </w:p>
    <w:p>
      <w:pPr>
        <w:numPr>
          <w:ilvl w:val="0"/>
          <w:numId w:val="1002"/>
        </w:numPr>
      </w:pPr>
      <w:r>
        <w:t xml:space="preserve">Urbanisation</w:t>
      </w:r>
    </w:p>
    <w:p>
      <w:pPr>
        <w:numPr>
          <w:ilvl w:val="0"/>
          <w:numId w:val="1002"/>
        </w:numPr>
      </w:pPr>
      <w:r>
        <w:t xml:space="preserve">De-urbanisation</w:t>
      </w:r>
    </w:p>
    <w:p>
      <w:pPr>
        <w:numPr>
          <w:ilvl w:val="0"/>
          <w:numId w:val="1002"/>
        </w:numPr>
      </w:pPr>
      <w:r>
        <w:t xml:space="preserve">Agricultural intensification</w:t>
      </w:r>
    </w:p>
    <w:p>
      <w:pPr>
        <w:numPr>
          <w:ilvl w:val="0"/>
          <w:numId w:val="1002"/>
        </w:numPr>
      </w:pPr>
      <w:r>
        <w:t xml:space="preserve">Agricultural extensification</w:t>
      </w:r>
    </w:p>
    <w:p>
      <w:pPr>
        <w:numPr>
          <w:ilvl w:val="0"/>
          <w:numId w:val="1002"/>
        </w:numPr>
      </w:pPr>
      <w:r>
        <w:t xml:space="preserve">Agricultural conversion to managed grassland</w:t>
      </w:r>
    </w:p>
    <w:p>
      <w:pPr>
        <w:numPr>
          <w:ilvl w:val="0"/>
          <w:numId w:val="1002"/>
        </w:numPr>
      </w:pPr>
      <w:r>
        <w:t xml:space="preserve">Agricultural conversion to cropland</w:t>
      </w:r>
    </w:p>
    <w:p>
      <w:pPr>
        <w:numPr>
          <w:ilvl w:val="0"/>
          <w:numId w:val="1002"/>
        </w:numPr>
      </w:pPr>
      <w:r>
        <w:t xml:space="preserve">Agricultural abandonment</w:t>
      </w:r>
    </w:p>
    <w:p>
      <w:pPr>
        <w:numPr>
          <w:ilvl w:val="0"/>
          <w:numId w:val="1002"/>
        </w:numPr>
      </w:pPr>
      <w:r>
        <w:t xml:space="preserve">Forest increase - Natural succession</w:t>
      </w:r>
    </w:p>
    <w:p>
      <w:pPr>
        <w:numPr>
          <w:ilvl w:val="0"/>
          <w:numId w:val="1002"/>
        </w:numPr>
      </w:pPr>
      <w:r>
        <w:t xml:space="preserve">Forest increase – Plantation</w:t>
      </w:r>
    </w:p>
    <w:p>
      <w:pPr>
        <w:numPr>
          <w:ilvl w:val="0"/>
          <w:numId w:val="1002"/>
        </w:numPr>
      </w:pPr>
      <w:r>
        <w:t xml:space="preserve">Tree encroachment</w:t>
      </w:r>
    </w:p>
    <w:p>
      <w:pPr>
        <w:numPr>
          <w:ilvl w:val="0"/>
          <w:numId w:val="1002"/>
        </w:numPr>
      </w:pPr>
      <w:r>
        <w:t xml:space="preserve">Deforestation</w:t>
      </w:r>
    </w:p>
    <w:p>
      <w:pPr>
        <w:numPr>
          <w:ilvl w:val="0"/>
          <w:numId w:val="1002"/>
        </w:numPr>
      </w:pPr>
      <w:r>
        <w:t xml:space="preserve">Forest degradation</w:t>
      </w:r>
    </w:p>
    <w:p>
      <w:pPr>
        <w:numPr>
          <w:ilvl w:val="0"/>
          <w:numId w:val="1002"/>
        </w:numPr>
      </w:pPr>
      <w:r>
        <w:t xml:space="preserve">Regeneration</w:t>
      </w:r>
    </w:p>
    <w:p>
      <w:pPr>
        <w:numPr>
          <w:ilvl w:val="0"/>
          <w:numId w:val="1002"/>
        </w:numPr>
      </w:pPr>
      <w:r>
        <w:t xml:space="preserve">Intensification of grassland use</w:t>
      </w:r>
    </w:p>
    <w:p>
      <w:pPr>
        <w:numPr>
          <w:ilvl w:val="0"/>
          <w:numId w:val="1002"/>
        </w:numPr>
      </w:pPr>
      <w:r>
        <w:t xml:space="preserve">Extensification of grassland use</w:t>
      </w:r>
    </w:p>
    <w:p>
      <w:pPr>
        <w:numPr>
          <w:ilvl w:val="0"/>
          <w:numId w:val="1002"/>
        </w:numPr>
      </w:pPr>
      <w:r>
        <w:t xml:space="preserve">Decline of woody plants</w:t>
      </w:r>
    </w:p>
    <w:p>
      <w:pPr>
        <w:numPr>
          <w:ilvl w:val="0"/>
          <w:numId w:val="1002"/>
        </w:numPr>
      </w:pPr>
      <w:r>
        <w:t xml:space="preserve">Woody plant encroachment</w:t>
      </w:r>
    </w:p>
    <w:p>
      <w:pPr>
        <w:numPr>
          <w:ilvl w:val="0"/>
          <w:numId w:val="1002"/>
        </w:numPr>
      </w:pPr>
      <w:r>
        <w:t xml:space="preserve">Shift of tree line</w:t>
      </w:r>
    </w:p>
    <w:p>
      <w:pPr>
        <w:numPr>
          <w:ilvl w:val="0"/>
          <w:numId w:val="1002"/>
        </w:numPr>
      </w:pPr>
      <w:r>
        <w:t xml:space="preserve">Colonization by marginal grasses</w:t>
      </w:r>
    </w:p>
    <w:p>
      <w:pPr>
        <w:numPr>
          <w:ilvl w:val="0"/>
          <w:numId w:val="1002"/>
        </w:numPr>
      </w:pPr>
      <w:r>
        <w:t xml:space="preserve">Expansion of grassland</w:t>
      </w:r>
    </w:p>
    <w:p>
      <w:pPr>
        <w:numPr>
          <w:ilvl w:val="0"/>
          <w:numId w:val="1002"/>
        </w:numPr>
      </w:pPr>
      <w:r>
        <w:t xml:space="preserve">Grassland degradation</w:t>
      </w:r>
    </w:p>
    <w:p>
      <w:pPr>
        <w:numPr>
          <w:ilvl w:val="0"/>
          <w:numId w:val="1002"/>
        </w:numPr>
      </w:pPr>
      <w:r>
        <w:t xml:space="preserve">Scrub encroachment</w:t>
      </w:r>
    </w:p>
    <w:p>
      <w:pPr>
        <w:numPr>
          <w:ilvl w:val="0"/>
          <w:numId w:val="1002"/>
        </w:numPr>
      </w:pPr>
      <w:r>
        <w:t xml:space="preserve">Scrub retreat</w:t>
      </w:r>
    </w:p>
    <w:p>
      <w:pPr>
        <w:numPr>
          <w:ilvl w:val="0"/>
          <w:numId w:val="1002"/>
        </w:numPr>
      </w:pPr>
      <w:r>
        <w:t xml:space="preserve">Sedimentation / Plant succession</w:t>
      </w:r>
    </w:p>
    <w:p>
      <w:pPr>
        <w:numPr>
          <w:ilvl w:val="0"/>
          <w:numId w:val="1002"/>
        </w:numPr>
      </w:pPr>
      <w:r>
        <w:t xml:space="preserve">Drainage</w:t>
      </w:r>
    </w:p>
    <w:p>
      <w:pPr>
        <w:numPr>
          <w:ilvl w:val="0"/>
          <w:numId w:val="1002"/>
        </w:numPr>
      </w:pPr>
      <w:r>
        <w:t xml:space="preserve">Deconstruction and reNaturation</w:t>
      </w:r>
    </w:p>
    <w:p>
      <w:pPr>
        <w:numPr>
          <w:ilvl w:val="0"/>
          <w:numId w:val="1002"/>
        </w:numPr>
      </w:pPr>
      <w:r>
        <w:t xml:space="preserve">Hydrological restoration</w:t>
      </w:r>
    </w:p>
    <w:p>
      <w:pPr>
        <w:pStyle w:val="FirstParagraph"/>
      </w:pPr>
      <w:r>
        <w:t xml:space="preserve">The mapped area covers a substantial part of the Natura 2000 sites and the European territory and includes, to different degrees, all MS and most Biogeographical Regions. Some biogeographical zones and MS are better represented than others and therefore the analysis should be read in the context of this representativeness.</w:t>
      </w:r>
    </w:p>
    <w:p>
      <w:pPr>
        <w:pStyle w:val="BodyText"/>
      </w:pPr>
      <w:r>
        <w:t xml:space="preserve">The figure below (Distribution of Level 1 classes in the mapped N2K AoI (Natura 2000 sites and buffer zone) for the reference years 2006, 2012 and 2018.) gives an overview of the eight Level 1 classes, their area coverage and N2K AoI proportion for the three-time steps 2006, 2012 and 2018. The highest share is taken up by</w:t>
      </w:r>
      <w:r>
        <w:t xml:space="preserve"> </w:t>
      </w:r>
      <w:r>
        <w:rPr>
          <w:i/>
          <w:iCs/>
        </w:rPr>
        <w:t xml:space="preserve">Woodland and forests</w:t>
      </w:r>
      <w:r>
        <w:t xml:space="preserve">, followed by</w:t>
      </w:r>
      <w:r>
        <w:t xml:space="preserve"> </w:t>
      </w:r>
      <w:r>
        <w:rPr>
          <w:i/>
          <w:iCs/>
        </w:rPr>
        <w:t xml:space="preserve">Cropland</w:t>
      </w:r>
      <w:r>
        <w:t xml:space="preserve"> </w:t>
      </w:r>
      <w:r>
        <w:t xml:space="preserve">and</w:t>
      </w:r>
      <w:r>
        <w:t xml:space="preserve"> </w:t>
      </w:r>
      <w:r>
        <w:rPr>
          <w:i/>
          <w:iCs/>
        </w:rPr>
        <w:t xml:space="preserve">Grassland</w:t>
      </w:r>
      <w:r>
        <w:t xml:space="preserve">.</w:t>
      </w:r>
      <w:r>
        <w:t xml:space="preserve"> </w:t>
      </w:r>
      <w:r>
        <w:rPr>
          <w:i/>
          <w:iCs/>
        </w:rPr>
        <w:t xml:space="preserve">Wetlands</w:t>
      </w:r>
      <w:r>
        <w:t xml:space="preserve"> </w:t>
      </w:r>
      <w:r>
        <w:t xml:space="preserve">are by far the rarest class, followed by</w:t>
      </w:r>
      <w:r>
        <w:t xml:space="preserve"> </w:t>
      </w:r>
      <w:r>
        <w:rPr>
          <w:i/>
          <w:iCs/>
        </w:rPr>
        <w:t xml:space="preserve">Water</w:t>
      </w:r>
      <w:r>
        <w:t xml:space="preserve"> </w:t>
      </w:r>
      <w:r>
        <w:t xml:space="preserve">and</w:t>
      </w:r>
      <w:r>
        <w:t xml:space="preserve"> </w:t>
      </w:r>
      <w:r>
        <w:rPr>
          <w:i/>
          <w:iCs/>
        </w:rPr>
        <w:t xml:space="preserve">Open spaces with little or no vegetation</w:t>
      </w:r>
      <w:r>
        <w:t xml:space="preserve">.</w:t>
      </w:r>
    </w:p>
    <w:p>
      <w:pPr>
        <w:pStyle w:val="BodyText"/>
      </w:pPr>
      <w:r>
        <w:drawing>
          <wp:inline>
            <wp:extent cx="5943600" cy="4174984"/>
            <wp:effectExtent b="0" l="0" r="0" t="0"/>
            <wp:docPr descr="" title="" id="30" name="Picture"/>
            <a:graphic>
              <a:graphicData uri="http://schemas.openxmlformats.org/drawingml/2006/picture">
                <pic:pic>
                  <pic:nvPicPr>
                    <pic:cNvPr descr="N2K_Land_Cover_Land_Use_Product_User_Manual-media/image5.png" id="31" name="Picture"/>
                    <pic:cNvPicPr>
                      <a:picLocks noChangeArrowheads="1" noChangeAspect="1"/>
                    </pic:cNvPicPr>
                  </pic:nvPicPr>
                  <pic:blipFill>
                    <a:blip r:embed="rId29"/>
                    <a:stretch>
                      <a:fillRect/>
                    </a:stretch>
                  </pic:blipFill>
                  <pic:spPr bwMode="auto">
                    <a:xfrm>
                      <a:off x="0" y="0"/>
                      <a:ext cx="5943600" cy="4174984"/>
                    </a:xfrm>
                    <a:prstGeom prst="rect">
                      <a:avLst/>
                    </a:prstGeom>
                    <a:noFill/>
                    <a:ln w="9525">
                      <a:noFill/>
                      <a:headEnd/>
                      <a:tailEnd/>
                    </a:ln>
                  </pic:spPr>
                </pic:pic>
              </a:graphicData>
            </a:graphic>
          </wp:inline>
        </w:drawing>
      </w:r>
    </w:p>
    <w:p>
      <w:pPr>
        <w:pStyle w:val="BodyText"/>
      </w:pPr>
      <w:r>
        <w:t xml:space="preserve">A look at the changes between the time steps 2006 – 2012 and 2012 – 2018 shown in the figure below (Overview total gains and losses per Level 1 class in ha and % for the periods 2006-2012 and 2012-2018 on European Level) reveals high dynamics in the classes Urban and Grassland, both in total numbers and percentage share. The observation period 2006 – 2012 indicates a considerable high increase of Urban areas (2,64%) whereas Grasslands decreased to a similar total area but a lesser percentage. A percentual high loss was also experienced by Wetlands and Heathland and moorlands.</w:t>
      </w:r>
    </w:p>
    <w:p>
      <w:pPr>
        <w:pStyle w:val="BodyText"/>
      </w:pPr>
      <w:r>
        <w:t xml:space="preserve">The period 2012 – 2018 is dominated by the high decrease of the Grassland class, with even 0,21 percentage points more than the previous period, and a high increase of Urban area, even though to a lesser extent than in 2006 – 2012.</w:t>
      </w:r>
    </w:p>
    <w:p>
      <w:pPr>
        <w:pStyle w:val="BodyText"/>
      </w:pPr>
      <w:r>
        <w:t xml:space="preserve">Comparing the two periods of observation, the decrease of Cropland between 2006 and 2012 is compensated by an increase in the following six years. Both classes, Urban and Grassland, continued their trend in opposite directions. Heathland and moorlands as well as Wetlands continue to loose area, even if to a slower ratio than in the subsequent period. The Open spaces with little or no vegetation class has experienced a reverse trend from an area gain between 2006-2012 to area loss in 2012-2018. One reason behind this may be the recovery of landscape after fire events. The figure also shows the declining area of No Data areas which reached zero in 2018. Since this cannot be considered a real change but is only resulting from a significant improvement in satellite data availability, it appears without bar in the graph.</w:t>
      </w:r>
    </w:p>
    <w:p>
      <w:pPr>
        <w:pStyle w:val="BodyText"/>
      </w:pPr>
      <w:r>
        <w:drawing>
          <wp:inline>
            <wp:extent cx="5943600" cy="5324640"/>
            <wp:effectExtent b="0" l="0" r="0" t="0"/>
            <wp:docPr descr="" title="" id="33" name="Picture"/>
            <a:graphic>
              <a:graphicData uri="http://schemas.openxmlformats.org/drawingml/2006/picture">
                <pic:pic>
                  <pic:nvPicPr>
                    <pic:cNvPr descr="N2K_Land_Cover_Land_Use_Product_User_Manual-media/image6.png" id="34" name="Picture"/>
                    <pic:cNvPicPr>
                      <a:picLocks noChangeArrowheads="1" noChangeAspect="1"/>
                    </pic:cNvPicPr>
                  </pic:nvPicPr>
                  <pic:blipFill>
                    <a:blip r:embed="rId32"/>
                    <a:stretch>
                      <a:fillRect/>
                    </a:stretch>
                  </pic:blipFill>
                  <pic:spPr bwMode="auto">
                    <a:xfrm>
                      <a:off x="0" y="0"/>
                      <a:ext cx="5943600" cy="5324640"/>
                    </a:xfrm>
                    <a:prstGeom prst="rect">
                      <a:avLst/>
                    </a:prstGeom>
                    <a:noFill/>
                    <a:ln w="9525">
                      <a:noFill/>
                      <a:headEnd/>
                      <a:tailEnd/>
                    </a:ln>
                  </pic:spPr>
                </pic:pic>
              </a:graphicData>
            </a:graphic>
          </wp:inline>
        </w:drawing>
      </w:r>
    </w:p>
    <w:p>
      <w:pPr>
        <w:pStyle w:val="BodyText"/>
      </w:pPr>
      <w:r>
        <w:t xml:space="preserve">The figure below shows the most important pressures on grassland habitats for the 2012 – 2018 period. This helps to better understand the changes in the mapped area. The percentage of each pressure is related to the total area of changes.</w:t>
      </w:r>
    </w:p>
    <w:p>
      <w:pPr>
        <w:pStyle w:val="BodyText"/>
      </w:pPr>
      <w:r>
        <w:t xml:space="preserve">The most prominent pressures are</w:t>
      </w:r>
      <w:r>
        <w:t xml:space="preserve"> </w:t>
      </w:r>
      <w:r>
        <w:t xml:space="preserve">‘Agricultural intensification’</w:t>
      </w:r>
      <w:r>
        <w:t xml:space="preserve"> </w:t>
      </w:r>
      <w:r>
        <w:t xml:space="preserve">(16%), Tree encroachment (16%) and</w:t>
      </w:r>
      <w:r>
        <w:t xml:space="preserve"> </w:t>
      </w:r>
      <w:r>
        <w:t xml:space="preserve">‘Agricultural conversion to cropland’</w:t>
      </w:r>
      <w:r>
        <w:t xml:space="preserve"> </w:t>
      </w:r>
      <w:r>
        <w:t xml:space="preserve">(14%) and followed by</w:t>
      </w:r>
      <w:r>
        <w:t xml:space="preserve"> </w:t>
      </w:r>
      <w:r>
        <w:t xml:space="preserve">‘Urbanization’</w:t>
      </w:r>
      <w:r>
        <w:t xml:space="preserve"> </w:t>
      </w:r>
      <w:r>
        <w:t xml:space="preserve">(13%).</w:t>
      </w:r>
      <w:r>
        <w:t xml:space="preserve"> </w:t>
      </w:r>
      <w:r>
        <w:t xml:space="preserve">‘Expansion of grassland’</w:t>
      </w:r>
      <w:r>
        <w:t xml:space="preserve"> </w:t>
      </w:r>
      <w:r>
        <w:t xml:space="preserve">(9%) remains the most important change process related to a grassland gain.</w:t>
      </w:r>
    </w:p>
    <w:p>
      <w:pPr>
        <w:pStyle w:val="BodyText"/>
      </w:pPr>
      <w:r>
        <w:drawing>
          <wp:inline>
            <wp:extent cx="5943600" cy="4146389"/>
            <wp:effectExtent b="0" l="0" r="0" t="0"/>
            <wp:docPr descr="" title="" id="36" name="Picture"/>
            <a:graphic>
              <a:graphicData uri="http://schemas.openxmlformats.org/drawingml/2006/picture">
                <pic:pic>
                  <pic:nvPicPr>
                    <pic:cNvPr descr="N2K_Land_Cover_Land_Use_Product_User_Manual-media/image7.png" id="37" name="Picture"/>
                    <pic:cNvPicPr>
                      <a:picLocks noChangeArrowheads="1" noChangeAspect="1"/>
                    </pic:cNvPicPr>
                  </pic:nvPicPr>
                  <pic:blipFill>
                    <a:blip r:embed="rId35"/>
                    <a:stretch>
                      <a:fillRect/>
                    </a:stretch>
                  </pic:blipFill>
                  <pic:spPr bwMode="auto">
                    <a:xfrm>
                      <a:off x="0" y="0"/>
                      <a:ext cx="5943600" cy="4146389"/>
                    </a:xfrm>
                    <a:prstGeom prst="rect">
                      <a:avLst/>
                    </a:prstGeom>
                    <a:noFill/>
                    <a:ln w="9525">
                      <a:noFill/>
                      <a:headEnd/>
                      <a:tailEnd/>
                    </a:ln>
                  </pic:spPr>
                </pic:pic>
              </a:graphicData>
            </a:graphic>
          </wp:inline>
        </w:drawing>
      </w:r>
    </w:p>
    <w:bookmarkEnd w:id="38"/>
    <w:bookmarkStart w:id="51" w:name="Xb07f78a72f6e72fb668361a836a5b2dade5da62"/>
    <w:p>
      <w:pPr>
        <w:pStyle w:val="Heading2"/>
      </w:pPr>
      <w:r>
        <w:t xml:space="preserve">4.2 Measuring the effectiveness of EU Member States efforts for protecting Natura 2000 grasslands</w:t>
      </w:r>
    </w:p>
    <w:p>
      <w:pPr>
        <w:pStyle w:val="FirstParagraph"/>
      </w:pPr>
      <w:r>
        <w:t xml:space="preserve">In addition to the previous general assessment, Copernicus Land Monitoring Service is helping to support and measure the effectiveness of EU Member States and their efforts for protecting the increasingly important Natura 2000 grasslands.</w:t>
      </w:r>
    </w:p>
    <w:p>
      <w:pPr>
        <w:pStyle w:val="BodyText"/>
      </w:pPr>
      <w:r>
        <w:t xml:space="preserve">When looking at the LC/LU inside the Natura 2000 sites, as compared to the 2 km buffer surrounding the sites, and as expected, the more anthropogenic land uses, such as urban and cropland, cover larger areas in the buffer zones as shown in the table below. In contrast, Natural and semi-Natural land cover is more abundant inside the sites. Grasslands are found to an almost equal extent in both areas because the class includes not only Natural and semi-Natural (species-rich) but also intensely managed (species-poor) grasslands, which are more comparable in their use to croplands.</w:t>
      </w:r>
    </w:p>
    <w:p>
      <w:pPr>
        <w:pStyle w:val="BodyText"/>
      </w:pPr>
      <w:r>
        <w:t xml:space="preserve">Overall, a continuous loss of grasslands can be observed, and the trend is visible both in the buffer zone and the sites themselves, even though it is to a lesser amount in the latter.</w:t>
      </w:r>
    </w:p>
    <w:p>
      <w:pPr>
        <w:pStyle w:val="BodyText"/>
      </w:pPr>
      <w:r>
        <w:drawing>
          <wp:inline>
            <wp:extent cx="5943600" cy="2139873"/>
            <wp:effectExtent b="0" l="0" r="0" t="0"/>
            <wp:docPr descr="" title="" id="40" name="Picture"/>
            <a:graphic>
              <a:graphicData uri="http://schemas.openxmlformats.org/drawingml/2006/picture">
                <pic:pic>
                  <pic:nvPicPr>
                    <pic:cNvPr descr="N2K_Land_Cover_Land_Use_Product_User_Manual-media/image8.png" id="41" name="Picture"/>
                    <pic:cNvPicPr>
                      <a:picLocks noChangeArrowheads="1" noChangeAspect="1"/>
                    </pic:cNvPicPr>
                  </pic:nvPicPr>
                  <pic:blipFill>
                    <a:blip r:embed="rId39"/>
                    <a:stretch>
                      <a:fillRect/>
                    </a:stretch>
                  </pic:blipFill>
                  <pic:spPr bwMode="auto">
                    <a:xfrm>
                      <a:off x="0" y="0"/>
                      <a:ext cx="5943600" cy="2139873"/>
                    </a:xfrm>
                    <a:prstGeom prst="rect">
                      <a:avLst/>
                    </a:prstGeom>
                    <a:noFill/>
                    <a:ln w="9525">
                      <a:noFill/>
                      <a:headEnd/>
                      <a:tailEnd/>
                    </a:ln>
                  </pic:spPr>
                </pic:pic>
              </a:graphicData>
            </a:graphic>
          </wp:inline>
        </w:drawing>
      </w:r>
    </w:p>
    <w:p>
      <w:pPr>
        <w:pStyle w:val="BodyText"/>
      </w:pPr>
      <w:r>
        <w:t xml:space="preserve">Other key findings (shown in the table below) include:</w:t>
      </w:r>
    </w:p>
    <w:p>
      <w:pPr>
        <w:numPr>
          <w:ilvl w:val="0"/>
          <w:numId w:val="1003"/>
        </w:numPr>
      </w:pPr>
      <w:r>
        <w:t xml:space="preserve">Grasslands showed a decline for two of the four different classes distinguished in the mapping. Managed grassland (class 4100) and Semi-Natural grassland with woody plants (class 4212) have the highest losses.</w:t>
      </w:r>
    </w:p>
    <w:p>
      <w:pPr>
        <w:numPr>
          <w:ilvl w:val="0"/>
          <w:numId w:val="1003"/>
        </w:numPr>
      </w:pPr>
      <w:r>
        <w:t xml:space="preserve">Alpine areas (4220) as the only type being more or less stable.</w:t>
      </w:r>
    </w:p>
    <w:p>
      <w:pPr>
        <w:numPr>
          <w:ilvl w:val="0"/>
          <w:numId w:val="1003"/>
        </w:numPr>
      </w:pPr>
      <w:r>
        <w:t xml:space="preserve">Semi-Natural grassland without woody plants (4211) experienced a gain for both reference periods.</w:t>
      </w:r>
    </w:p>
    <w:p>
      <w:pPr>
        <w:pStyle w:val="FirstParagraph"/>
      </w:pPr>
      <w:r>
        <w:drawing>
          <wp:inline>
            <wp:extent cx="5943600" cy="4282110"/>
            <wp:effectExtent b="0" l="0" r="0" t="0"/>
            <wp:docPr descr="" title="" id="43" name="Picture"/>
            <a:graphic>
              <a:graphicData uri="http://schemas.openxmlformats.org/drawingml/2006/picture">
                <pic:pic>
                  <pic:nvPicPr>
                    <pic:cNvPr descr="N2K_Land_Cover_Land_Use_Product_User_Manual-media/image9.png" id="44" name="Picture"/>
                    <pic:cNvPicPr>
                      <a:picLocks noChangeArrowheads="1" noChangeAspect="1"/>
                    </pic:cNvPicPr>
                  </pic:nvPicPr>
                  <pic:blipFill>
                    <a:blip r:embed="rId42"/>
                    <a:stretch>
                      <a:fillRect/>
                    </a:stretch>
                  </pic:blipFill>
                  <pic:spPr bwMode="auto">
                    <a:xfrm>
                      <a:off x="0" y="0"/>
                      <a:ext cx="5943600" cy="4282110"/>
                    </a:xfrm>
                    <a:prstGeom prst="rect">
                      <a:avLst/>
                    </a:prstGeom>
                    <a:noFill/>
                    <a:ln w="9525">
                      <a:noFill/>
                      <a:headEnd/>
                      <a:tailEnd/>
                    </a:ln>
                  </pic:spPr>
                </pic:pic>
              </a:graphicData>
            </a:graphic>
          </wp:inline>
        </w:drawing>
      </w:r>
    </w:p>
    <w:p>
      <w:pPr>
        <w:pStyle w:val="BodyText"/>
      </w:pPr>
      <w:r>
        <w:t xml:space="preserve">Looking at the data for Natura 2000 sites and buffer zones separately (Figure below), the grassland classes inside the Natura 2000 network can be seen to still be declining in area, apart from class 4211, which experienced slight gains in both periods, the reason for this most likely being land abandonment leading to shrub encroachment. In the buffer zone, classes 4100, 4212 and 4220 all decline more severely than inside the sites. The graph clearly shows once again that grassland cover seems overall to be subject to bigger changes outside Natura 2000 sites (i.e. in the buffer).</w:t>
      </w:r>
    </w:p>
    <w:p>
      <w:pPr>
        <w:pStyle w:val="BodyText"/>
      </w:pPr>
      <w:r>
        <w:drawing>
          <wp:inline>
            <wp:extent cx="5943600" cy="3572482"/>
            <wp:effectExtent b="0" l="0" r="0" t="0"/>
            <wp:docPr descr="" title="" id="46" name="Picture"/>
            <a:graphic>
              <a:graphicData uri="http://schemas.openxmlformats.org/drawingml/2006/picture">
                <pic:pic>
                  <pic:nvPicPr>
                    <pic:cNvPr descr="N2K_Land_Cover_Land_Use_Product_User_Manual-media/image10.png" id="47" name="Picture"/>
                    <pic:cNvPicPr>
                      <a:picLocks noChangeArrowheads="1" noChangeAspect="1"/>
                    </pic:cNvPicPr>
                  </pic:nvPicPr>
                  <pic:blipFill>
                    <a:blip r:embed="rId45"/>
                    <a:stretch>
                      <a:fillRect/>
                    </a:stretch>
                  </pic:blipFill>
                  <pic:spPr bwMode="auto">
                    <a:xfrm>
                      <a:off x="0" y="0"/>
                      <a:ext cx="5943600" cy="3572482"/>
                    </a:xfrm>
                    <a:prstGeom prst="rect">
                      <a:avLst/>
                    </a:prstGeom>
                    <a:noFill/>
                    <a:ln w="9525">
                      <a:noFill/>
                      <a:headEnd/>
                      <a:tailEnd/>
                    </a:ln>
                  </pic:spPr>
                </pic:pic>
              </a:graphicData>
            </a:graphic>
          </wp:inline>
        </w:drawing>
      </w:r>
    </w:p>
    <w:p>
      <w:pPr>
        <w:pStyle w:val="BodyText"/>
      </w:pPr>
      <w:r>
        <w:drawing>
          <wp:inline>
            <wp:extent cx="5943600" cy="3572482"/>
            <wp:effectExtent b="0" l="0" r="0" t="0"/>
            <wp:docPr descr="" title="" id="49" name="Picture"/>
            <a:graphic>
              <a:graphicData uri="http://schemas.openxmlformats.org/drawingml/2006/picture">
                <pic:pic>
                  <pic:nvPicPr>
                    <pic:cNvPr descr="N2K_Land_Cover_Land_Use_Product_User_Manual-media/image11.png" id="50" name="Picture"/>
                    <pic:cNvPicPr>
                      <a:picLocks noChangeArrowheads="1" noChangeAspect="1"/>
                    </pic:cNvPicPr>
                  </pic:nvPicPr>
                  <pic:blipFill>
                    <a:blip r:embed="rId48"/>
                    <a:stretch>
                      <a:fillRect/>
                    </a:stretch>
                  </pic:blipFill>
                  <pic:spPr bwMode="auto">
                    <a:xfrm>
                      <a:off x="0" y="0"/>
                      <a:ext cx="5943600" cy="3572482"/>
                    </a:xfrm>
                    <a:prstGeom prst="rect">
                      <a:avLst/>
                    </a:prstGeom>
                    <a:noFill/>
                    <a:ln w="9525">
                      <a:noFill/>
                      <a:headEnd/>
                      <a:tailEnd/>
                    </a:ln>
                  </pic:spPr>
                </pic:pic>
              </a:graphicData>
            </a:graphic>
          </wp:inline>
        </w:drawing>
      </w:r>
    </w:p>
    <w:p>
      <w:pPr>
        <w:pStyle w:val="BodyText"/>
      </w:pPr>
      <w:r>
        <w:t xml:space="preserve">The N2K product allows us to recognise that good work is being done within Natura 2000 areas to lessen the decline of grasslands areas. However, it also tells us more work is required to protect these valuable areas, in particular with the continual monitoring of changing agricultural practices.</w:t>
      </w:r>
    </w:p>
    <w:p>
      <w:pPr>
        <w:pStyle w:val="BodyText"/>
      </w:pPr>
      <w:r>
        <w:t xml:space="preserve">The Copernicus Land Monitoring Service (implemented by the European Environment Agency) is committed to the continual improvement of such monitoring schemes to address these challenges collectively. In particular, it is hoped that grasslands can not only be effectively preserved with N2K, but that the monitoring and assessment of biodiversity in line with the objectives of the EU Biodiversity Strategy to 2030 can also be achieved to the highest level. All of which will help ensure the continual protection of the vitally important Natura 2000 grasslands.</w:t>
      </w:r>
    </w:p>
    <w:bookmarkEnd w:id="51"/>
    <w:bookmarkStart w:id="52" w:name="use-case-green-infrastructure-gi-network"/>
    <w:p>
      <w:pPr>
        <w:pStyle w:val="Heading2"/>
      </w:pPr>
      <w:r>
        <w:t xml:space="preserve">4.3 Use case: Green infrastructure (GI) network</w:t>
      </w:r>
    </w:p>
    <w:p>
      <w:pPr>
        <w:pStyle w:val="FirstParagraph"/>
      </w:pPr>
      <w:r>
        <w:t xml:space="preserve">The European Topic Centre on Urban, Land and Soil Systems (ETC-ULS) uses the CLMS N2K data for their study on assessing the contribution of GI to improving the conservation status of species of Community interest and the delivery of ecosystem services in Europe (ETC-ULS 2020). An integrated assessment on the distribution of GI, its multifunctional areas and the conservation status of a particular set of mammal species enable a mapping and prioritisation of where GI should be preserved, restored or further deployed, both within and outside of the Natura 2000 network. Thus, the work presented in their report is intended to improve and strengthen the information about GI mapping and contributes to several political strategies.</w:t>
      </w:r>
    </w:p>
    <w:bookmarkEnd w:id="52"/>
    <w:bookmarkStart w:id="54" w:name="Xf46537b6762693a9c26ce46909e9b5d69d3d3f9"/>
    <w:p>
      <w:pPr>
        <w:pStyle w:val="Heading2"/>
      </w:pPr>
      <w:r>
        <w:t xml:space="preserve">4.4 Use case: Copernicus for Natura 2000 (COP4N2K)</w:t>
      </w:r>
    </w:p>
    <w:p>
      <w:pPr>
        <w:pStyle w:val="FirstParagraph"/>
      </w:pPr>
      <w:r>
        <w:t xml:space="preserve">The project</w:t>
      </w:r>
      <w:r>
        <w:t xml:space="preserve"> </w:t>
      </w:r>
      <w:hyperlink r:id="rId53">
        <w:r>
          <w:rPr>
            <w:rStyle w:val="Hyperlink"/>
          </w:rPr>
          <w:t xml:space="preserve">COP4N2K</w:t>
        </w:r>
      </w:hyperlink>
      <w:r>
        <w:t xml:space="preserve"> </w:t>
      </w:r>
      <w:r>
        <w:t xml:space="preserve">aims at developing a prototype to support monitoring and management of Natura2000 sites habitats with Copernicus. To guide the processing of the EO data and hold the results of the analysis a number of reference datasets were used. One of those datasets was the CLMS N2K, whose objects were used to hold the results of the EO analysis.</w:t>
      </w:r>
    </w:p>
    <w:bookmarkEnd w:id="54"/>
    <w:bookmarkStart w:id="55" w:name="general-product-application-area"/>
    <w:p>
      <w:pPr>
        <w:pStyle w:val="Heading2"/>
      </w:pPr>
      <w:r>
        <w:t xml:space="preserve">4.5 General product application area</w:t>
      </w:r>
    </w:p>
    <w:p>
      <w:pPr>
        <w:pStyle w:val="FirstParagraph"/>
      </w:pPr>
      <w:r>
        <w:t xml:space="preserve">The CLMS N2K product provides highly detailed and consistent information on Land Cover / Land Use (LC/LU ) for approximately 631.000 km² across Europe. It has a thematic depth of 55 different LC/LU classes with a Minimum Mapping Unit (MMU) and Minimum Mapping Width (MMW), i.e. the smallest area to be distinguished, of 0.5ha and 10m, respectively.</w:t>
      </w:r>
    </w:p>
    <w:p>
      <w:pPr>
        <w:pStyle w:val="BodyText"/>
      </w:pPr>
      <w:r>
        <w:t xml:space="preserve">The product is available for the reference years 2006, 2012 and 2018 and allows due to its technical setup a direct analysis of LC/LU changes across time using a homogenous data source across Europe.</w:t>
      </w:r>
    </w:p>
    <w:p>
      <w:pPr>
        <w:pStyle w:val="BodyText"/>
      </w:pPr>
      <w:r>
        <w:t xml:space="preserve">The hierarchical CLMS N2K LC/LU nomenclature is highly compatible to the CLMS Local Component Coastal Zone (CZ) and Riparian Zone (RZ) products. Depending on the LC/LU under investigation, these products could be jointly used to analyse LC/LC trends and changes.</w:t>
      </w:r>
    </w:p>
    <w:p>
      <w:r>
        <w:br w:type="page"/>
      </w:r>
    </w:p>
    <w:bookmarkEnd w:id="55"/>
    <w:bookmarkEnd w:id="56"/>
    <w:bookmarkStart w:id="126" w:name="product-description"/>
    <w:p>
      <w:pPr>
        <w:pStyle w:val="Heading1"/>
      </w:pPr>
      <w:r>
        <w:t xml:space="preserve">5. Product description</w:t>
      </w:r>
    </w:p>
    <w:bookmarkStart w:id="66" w:name="product-overview"/>
    <w:p>
      <w:pPr>
        <w:pStyle w:val="Heading2"/>
      </w:pPr>
      <w:r>
        <w:t xml:space="preserve">5.1 Product overview</w:t>
      </w:r>
    </w:p>
    <w:p>
      <w:pPr>
        <w:pStyle w:val="FirstParagraph"/>
      </w:pPr>
      <w:r>
        <w:t xml:space="preserve">The CLMS N2K product contains two specific information layers for each reference year (Figure 1). The status layer describes the LC/LU situation in the relevant reference year. The change layer describes LC/LU change areas between two reference years. Currently status layers for the reference years 2006, 2012 and 2018 are available, with corresponding change layers for 2006-2012 and 2012-2018. The CLMS N2K product covers an area of 631.820 km² (Figure 2).</w:t>
      </w:r>
    </w:p>
    <w:p>
      <w:pPr>
        <w:pStyle w:val="CaptionedFigure"/>
      </w:pPr>
      <w:r>
        <w:drawing>
          <wp:inline>
            <wp:extent cx="5943600" cy="1959308"/>
            <wp:effectExtent b="0" l="0" r="0" t="0"/>
            <wp:docPr descr="Figure 1: The CLMS N2K product portfolio" title="" id="58" name="Picture"/>
            <a:graphic>
              <a:graphicData uri="http://schemas.openxmlformats.org/drawingml/2006/picture">
                <pic:pic>
                  <pic:nvPicPr>
                    <pic:cNvPr descr="N2K_Land_Cover_Land_Use_Product_User_Manual-media/Figure1.png" id="59" name="Picture"/>
                    <pic:cNvPicPr>
                      <a:picLocks noChangeArrowheads="1" noChangeAspect="1"/>
                    </pic:cNvPicPr>
                  </pic:nvPicPr>
                  <pic:blipFill>
                    <a:blip r:embed="rId57"/>
                    <a:stretch>
                      <a:fillRect/>
                    </a:stretch>
                  </pic:blipFill>
                  <pic:spPr bwMode="auto">
                    <a:xfrm>
                      <a:off x="0" y="0"/>
                      <a:ext cx="5943600" cy="1959308"/>
                    </a:xfrm>
                    <a:prstGeom prst="rect">
                      <a:avLst/>
                    </a:prstGeom>
                    <a:noFill/>
                    <a:ln w="9525">
                      <a:noFill/>
                      <a:headEnd/>
                      <a:tailEnd/>
                    </a:ln>
                  </pic:spPr>
                </pic:pic>
              </a:graphicData>
            </a:graphic>
          </wp:inline>
        </w:drawing>
      </w:r>
    </w:p>
    <w:p>
      <w:pPr>
        <w:pStyle w:val="ImageCaption"/>
      </w:pPr>
      <w:r>
        <w:t xml:space="preserve">Figure 1: The CLMS N2K product portfolio</w:t>
      </w:r>
    </w:p>
    <w:p>
      <w:pPr>
        <w:pStyle w:val="BodyText"/>
      </w:pPr>
      <w:r>
        <w:t xml:space="preserve">The CLMS N2K layers are provided as polygon vector data. They cover 4.790 Natura 2000 sites across Europe (Figure 2), including a 2km buffer zone around each site (Figure 3).</w:t>
      </w:r>
    </w:p>
    <w:p>
      <w:pPr>
        <w:pStyle w:val="BodyText"/>
      </w:pPr>
      <w:r>
        <w:t xml:space="preserve">The LC/LU classification is based on visual image interpretation and delineation from Very High Resolution (VHR) satellite imagery. The characteristics of the product are the following:</w:t>
      </w:r>
    </w:p>
    <w:p>
      <w:pPr>
        <w:numPr>
          <w:ilvl w:val="0"/>
          <w:numId w:val="1004"/>
        </w:numPr>
      </w:pPr>
      <w:r>
        <w:t xml:space="preserve">LC/LU is encoded following a detailed mapping nomenclature and guideline (AD01) into 55 different classes using a hierarchical LC/LU encoding structure ranging from 8 LC/LU classes at Code level 1 to the full 55 classes at Code level 4</w:t>
      </w:r>
    </w:p>
    <w:p>
      <w:pPr>
        <w:numPr>
          <w:ilvl w:val="0"/>
          <w:numId w:val="1004"/>
        </w:numPr>
      </w:pPr>
      <w:r>
        <w:t xml:space="preserve">LC/LU classes are:</w:t>
      </w:r>
    </w:p>
    <w:p>
      <w:pPr>
        <w:numPr>
          <w:ilvl w:val="1"/>
          <w:numId w:val="1005"/>
        </w:numPr>
      </w:pPr>
      <w:r>
        <w:t xml:space="preserve">based on the MAES (Mapping and Assessment of Ecosystems and their Services) ecosystem types specification at Code level 1</w:t>
      </w:r>
    </w:p>
    <w:p>
      <w:pPr>
        <w:numPr>
          <w:ilvl w:val="1"/>
          <w:numId w:val="1005"/>
        </w:numPr>
      </w:pPr>
      <w:r>
        <w:t xml:space="preserve">largely compatible with CORINE Land Cover (CLC) and Urban Atlas and adapted to the specific characteristics of grasslands habitats (Code levels 2 to 4)</w:t>
      </w:r>
    </w:p>
    <w:p>
      <w:pPr>
        <w:numPr>
          <w:ilvl w:val="1"/>
          <w:numId w:val="1005"/>
        </w:numPr>
      </w:pPr>
      <w:r>
        <w:t xml:space="preserve">harmonized with CLMS Riparian Zones and Coastal Zones products.</w:t>
      </w:r>
    </w:p>
    <w:p>
      <w:pPr>
        <w:numPr>
          <w:ilvl w:val="0"/>
          <w:numId w:val="1004"/>
        </w:numPr>
      </w:pPr>
      <w:r>
        <w:t xml:space="preserve">Minimum Mapping Unit is 0.5ha</w:t>
      </w:r>
    </w:p>
    <w:p>
      <w:pPr>
        <w:numPr>
          <w:ilvl w:val="0"/>
          <w:numId w:val="1004"/>
        </w:numPr>
      </w:pPr>
      <w:r>
        <w:t xml:space="preserve">Minimum Mapping Width is 10m</w:t>
      </w:r>
    </w:p>
    <w:p>
      <w:pPr>
        <w:pStyle w:val="CaptionedFigure"/>
      </w:pPr>
      <w:r>
        <w:drawing>
          <wp:inline>
            <wp:extent cx="5943600" cy="4201616"/>
            <wp:effectExtent b="0" l="0" r="0" t="0"/>
            <wp:docPr descr="Figure 2: Coverage of the CLMS N2K product" title="" id="61" name="Picture"/>
            <a:graphic>
              <a:graphicData uri="http://schemas.openxmlformats.org/drawingml/2006/picture">
                <pic:pic>
                  <pic:nvPicPr>
                    <pic:cNvPr descr="N2K_Land_Cover_Land_Use_Product_User_Manual-media/image12.png" id="62" name="Picture"/>
                    <pic:cNvPicPr>
                      <a:picLocks noChangeArrowheads="1" noChangeAspect="1"/>
                    </pic:cNvPicPr>
                  </pic:nvPicPr>
                  <pic:blipFill>
                    <a:blip r:embed="rId60"/>
                    <a:stretch>
                      <a:fillRect/>
                    </a:stretch>
                  </pic:blipFill>
                  <pic:spPr bwMode="auto">
                    <a:xfrm>
                      <a:off x="0" y="0"/>
                      <a:ext cx="5943600" cy="4201616"/>
                    </a:xfrm>
                    <a:prstGeom prst="rect">
                      <a:avLst/>
                    </a:prstGeom>
                    <a:noFill/>
                    <a:ln w="9525">
                      <a:noFill/>
                      <a:headEnd/>
                      <a:tailEnd/>
                    </a:ln>
                  </pic:spPr>
                </pic:pic>
              </a:graphicData>
            </a:graphic>
          </wp:inline>
        </w:drawing>
      </w:r>
    </w:p>
    <w:p>
      <w:pPr>
        <w:pStyle w:val="ImageCaption"/>
      </w:pPr>
      <w:r>
        <w:t xml:space="preserve">Figure 2: Coverage of the CLMS N2K product</w:t>
      </w:r>
    </w:p>
    <w:p>
      <w:pPr>
        <w:pStyle w:val="CaptionedFigure"/>
      </w:pPr>
      <w:r>
        <w:drawing>
          <wp:inline>
            <wp:extent cx="5943600" cy="4204780"/>
            <wp:effectExtent b="0" l="0" r="0" t="0"/>
            <wp:docPr descr="Figure 3: Example coverage of CLMS N2K product for a selected Natura 2000 site (DE4617303 Kalkkuppen near Brilon, Germany). Green= extent of Natura 2000 site, Blue = CLMS N2K product extent." title="" id="64" name="Picture"/>
            <a:graphic>
              <a:graphicData uri="http://schemas.openxmlformats.org/drawingml/2006/picture">
                <pic:pic>
                  <pic:nvPicPr>
                    <pic:cNvPr descr="N2K_Land_Cover_Land_Use_Product_User_Manual-media/image13.png" id="65" name="Picture"/>
                    <pic:cNvPicPr>
                      <a:picLocks noChangeArrowheads="1" noChangeAspect="1"/>
                    </pic:cNvPicPr>
                  </pic:nvPicPr>
                  <pic:blipFill>
                    <a:blip r:embed="rId63"/>
                    <a:stretch>
                      <a:fillRect/>
                    </a:stretch>
                  </pic:blipFill>
                  <pic:spPr bwMode="auto">
                    <a:xfrm>
                      <a:off x="0" y="0"/>
                      <a:ext cx="5943600" cy="4204780"/>
                    </a:xfrm>
                    <a:prstGeom prst="rect">
                      <a:avLst/>
                    </a:prstGeom>
                    <a:noFill/>
                    <a:ln w="9525">
                      <a:noFill/>
                      <a:headEnd/>
                      <a:tailEnd/>
                    </a:ln>
                  </pic:spPr>
                </pic:pic>
              </a:graphicData>
            </a:graphic>
          </wp:inline>
        </w:drawing>
      </w:r>
    </w:p>
    <w:p>
      <w:pPr>
        <w:pStyle w:val="ImageCaption"/>
      </w:pPr>
      <w:r>
        <w:t xml:space="preserve">Figure 3: Example coverage of CLMS N2K product for a selected Natura 2000 site (DE4617303 Kalkkuppen near Brilon, Germany). Green= extent of Natura 2000 site, Blue = CLMS N2K product extent.</w:t>
      </w:r>
    </w:p>
    <w:bookmarkEnd w:id="66"/>
    <w:bookmarkStart w:id="67" w:name="selection-of-natura-2000-sites"/>
    <w:p>
      <w:pPr>
        <w:pStyle w:val="Heading2"/>
      </w:pPr>
      <w:r>
        <w:t xml:space="preserve">5.2 Selection of Natura 2000 sites</w:t>
      </w:r>
    </w:p>
    <w:p>
      <w:pPr>
        <w:pStyle w:val="FirstParagraph"/>
      </w:pPr>
      <w:r>
        <w:t xml:space="preserve">The selection of Natura 2000 sites to be mapped by the N2K product is based on the occurrence of grassland habitats within the sites. They cover 31 natural and semi-natural grassland formations as defined by Annex I of the Habitats Directive (Council Directive 92/43/EEC) (Table 1).</w:t>
      </w:r>
    </w:p>
    <w:p>
      <w:pPr>
        <w:pStyle w:val="TableCaption"/>
      </w:pPr>
      <w:r>
        <w:t xml:space="preserve">Table 1: List of grassland habitat types relevant for the Natura 2000 site selection</w:t>
      </w:r>
    </w:p>
    <w:tbl>
      <w:tblPr>
        <w:tblStyle w:val="Table"/>
        <w:tblW w:type="pct" w:w="5000"/>
        <w:tblLayout w:type="fixed"/>
        <w:tblLook w:firstRow="0" w:lastRow="0" w:firstColumn="0" w:lastColumn="0" w:noHBand="0" w:noVBand="0" w:val="0000"/>
        <w:tblCaption w:val="Table 1: List of grassland habitat types relevant for the Natura 2000 site selection"/>
      </w:tblPr>
      <w:tblGrid>
        <w:gridCol w:w="7920"/>
      </w:tblGrid>
      <w:tr>
        <w:tc>
          <w:tcPr/>
          <w:p>
            <w:pPr>
              <w:pStyle w:val="Compact"/>
              <w:jc w:val="left"/>
            </w:pPr>
            <w:r>
              <w:t xml:space="preserve">6110 Rupicolous calcareous or basophilic grasslands of the Alysso-Sedion albi</w:t>
            </w:r>
          </w:p>
        </w:tc>
      </w:tr>
      <w:tr>
        <w:tc>
          <w:tcPr/>
          <w:p>
            <w:pPr>
              <w:pStyle w:val="Compact"/>
              <w:jc w:val="left"/>
            </w:pPr>
            <w:r>
              <w:t xml:space="preserve">6120 Xeric sand calcareous grasslands</w:t>
            </w:r>
          </w:p>
        </w:tc>
      </w:tr>
      <w:tr>
        <w:tc>
          <w:tcPr/>
          <w:p>
            <w:pPr>
              <w:pStyle w:val="Compact"/>
              <w:jc w:val="left"/>
            </w:pPr>
            <w:r>
              <w:t xml:space="preserve">6130 Calaminarian grasslands of the Violetalia calaminariae</w:t>
            </w:r>
          </w:p>
        </w:tc>
      </w:tr>
      <w:tr>
        <w:tc>
          <w:tcPr/>
          <w:p>
            <w:pPr>
              <w:pStyle w:val="Compact"/>
              <w:jc w:val="left"/>
            </w:pPr>
            <w:r>
              <w:t xml:space="preserve">6140 Siliceous Pyrenean Festuca eskia grasslands</w:t>
            </w:r>
          </w:p>
        </w:tc>
      </w:tr>
      <w:tr>
        <w:tc>
          <w:tcPr/>
          <w:p>
            <w:pPr>
              <w:pStyle w:val="Compact"/>
              <w:jc w:val="left"/>
            </w:pPr>
            <w:r>
              <w:t xml:space="preserve">6150 Siliceous alpine and boreal grasslands</w:t>
            </w:r>
          </w:p>
        </w:tc>
      </w:tr>
      <w:tr>
        <w:tc>
          <w:tcPr/>
          <w:p>
            <w:pPr>
              <w:pStyle w:val="Compact"/>
              <w:jc w:val="left"/>
            </w:pPr>
            <w:r>
              <w:t xml:space="preserve">6160 Oro-Iberian Festuca indigesta grasslands</w:t>
            </w:r>
          </w:p>
        </w:tc>
      </w:tr>
      <w:tr>
        <w:tc>
          <w:tcPr/>
          <w:p>
            <w:pPr>
              <w:pStyle w:val="Compact"/>
              <w:jc w:val="left"/>
            </w:pPr>
            <w:r>
              <w:t xml:space="preserve">6170 Alpine and subalpine calcareous grasslands</w:t>
            </w:r>
          </w:p>
        </w:tc>
      </w:tr>
      <w:tr>
        <w:tc>
          <w:tcPr/>
          <w:p>
            <w:pPr>
              <w:pStyle w:val="Compact"/>
              <w:jc w:val="left"/>
            </w:pPr>
            <w:r>
              <w:t xml:space="preserve">6180 Macaronesian mesophile grasslands</w:t>
            </w:r>
          </w:p>
        </w:tc>
      </w:tr>
      <w:tr>
        <w:tc>
          <w:tcPr/>
          <w:p>
            <w:pPr>
              <w:pStyle w:val="Compact"/>
              <w:jc w:val="left"/>
            </w:pPr>
            <w:r>
              <w:t xml:space="preserve">6190 Rupicolous pannonic grasslands (Stipo-Festucetalia pallentis)</w:t>
            </w:r>
          </w:p>
        </w:tc>
      </w:tr>
      <w:tr>
        <w:tc>
          <w:tcPr/>
          <w:p>
            <w:pPr>
              <w:pStyle w:val="Compact"/>
              <w:jc w:val="left"/>
            </w:pPr>
            <w:r>
              <w:t xml:space="preserve">6210 Semi-Natural dry grasslands and scrubland facies on calcareous substrates (Festuco-Brometalia) (* important orchid sites)</w:t>
            </w:r>
          </w:p>
        </w:tc>
      </w:tr>
      <w:tr>
        <w:tc>
          <w:tcPr/>
          <w:p>
            <w:pPr>
              <w:pStyle w:val="Compact"/>
              <w:jc w:val="left"/>
            </w:pPr>
            <w:r>
              <w:t xml:space="preserve">6220 Pseudo-steppe with grasses and annuals of the Thero-Brachypodietea</w:t>
            </w:r>
          </w:p>
        </w:tc>
      </w:tr>
      <w:tr>
        <w:tc>
          <w:tcPr/>
          <w:p>
            <w:pPr>
              <w:pStyle w:val="Compact"/>
              <w:jc w:val="left"/>
            </w:pPr>
            <w:r>
              <w:t xml:space="preserve">6230 Species-rich Nardus grasslands, on silicious substrates in mountain areas (and submountain areas in Continental Europe)</w:t>
            </w:r>
          </w:p>
        </w:tc>
      </w:tr>
      <w:tr>
        <w:tc>
          <w:tcPr/>
          <w:p>
            <w:pPr>
              <w:pStyle w:val="Compact"/>
              <w:jc w:val="left"/>
            </w:pPr>
            <w:r>
              <w:t xml:space="preserve">6240 Sub-Pannonic steppic grasslands</w:t>
            </w:r>
          </w:p>
        </w:tc>
      </w:tr>
      <w:tr>
        <w:tc>
          <w:tcPr/>
          <w:p>
            <w:pPr>
              <w:pStyle w:val="Compact"/>
              <w:jc w:val="left"/>
            </w:pPr>
            <w:r>
              <w:t xml:space="preserve">6250 Pannonic loess steppic grasslands</w:t>
            </w:r>
          </w:p>
        </w:tc>
      </w:tr>
      <w:tr>
        <w:tc>
          <w:tcPr/>
          <w:p>
            <w:pPr>
              <w:pStyle w:val="Compact"/>
              <w:jc w:val="left"/>
            </w:pPr>
            <w:r>
              <w:t xml:space="preserve">6260 Pannonic sand steppes</w:t>
            </w:r>
          </w:p>
        </w:tc>
      </w:tr>
      <w:tr>
        <w:tc>
          <w:tcPr/>
          <w:p>
            <w:pPr>
              <w:pStyle w:val="Compact"/>
              <w:jc w:val="left"/>
            </w:pPr>
            <w:r>
              <w:t xml:space="preserve">6270 Fennoscandian lowland species-rich dry to mesic grasslands</w:t>
            </w:r>
          </w:p>
        </w:tc>
      </w:tr>
      <w:tr>
        <w:tc>
          <w:tcPr/>
          <w:p>
            <w:pPr>
              <w:pStyle w:val="Compact"/>
              <w:jc w:val="left"/>
            </w:pPr>
            <w:r>
              <w:t xml:space="preserve">6280 Nordic alvar and precambrian calcareous flatrocks</w:t>
            </w:r>
          </w:p>
        </w:tc>
      </w:tr>
      <w:tr>
        <w:tc>
          <w:tcPr/>
          <w:p>
            <w:pPr>
              <w:pStyle w:val="Compact"/>
              <w:jc w:val="left"/>
            </w:pPr>
            <w:r>
              <w:t xml:space="preserve">62A0 Eastern sub-Mediterranean dry grasslands (Scorzoneratalia villosae)</w:t>
            </w:r>
          </w:p>
        </w:tc>
      </w:tr>
      <w:tr>
        <w:tc>
          <w:tcPr/>
          <w:p>
            <w:pPr>
              <w:pStyle w:val="Compact"/>
              <w:jc w:val="left"/>
            </w:pPr>
            <w:r>
              <w:t xml:space="preserve">62B0 Serpentinophilous grassland of Cyprus</w:t>
            </w:r>
          </w:p>
        </w:tc>
      </w:tr>
      <w:tr>
        <w:tc>
          <w:tcPr/>
          <w:p>
            <w:pPr>
              <w:pStyle w:val="Compact"/>
              <w:jc w:val="left"/>
            </w:pPr>
            <w:r>
              <w:t xml:space="preserve">62C0 Ponto-Sarmatic steppes</w:t>
            </w:r>
          </w:p>
        </w:tc>
      </w:tr>
      <w:tr>
        <w:tc>
          <w:tcPr/>
          <w:p>
            <w:pPr>
              <w:pStyle w:val="Compact"/>
              <w:jc w:val="left"/>
            </w:pPr>
            <w:r>
              <w:t xml:space="preserve">62D0 Oro-Moesian acidophilous grasslands</w:t>
            </w:r>
          </w:p>
        </w:tc>
      </w:tr>
      <w:tr>
        <w:tc>
          <w:tcPr/>
          <w:p>
            <w:pPr>
              <w:pStyle w:val="Compact"/>
              <w:jc w:val="left"/>
            </w:pPr>
            <w:r>
              <w:t xml:space="preserve">6310 Dehesas with evergreen Quercus spp.</w:t>
            </w:r>
          </w:p>
        </w:tc>
      </w:tr>
      <w:tr>
        <w:tc>
          <w:tcPr/>
          <w:p>
            <w:pPr>
              <w:pStyle w:val="Compact"/>
              <w:jc w:val="left"/>
            </w:pPr>
            <w:r>
              <w:t xml:space="preserve">6410 Molinia meadows on calcareous, peaty or clayey-silt-laden soils (Molinion caeruleae)</w:t>
            </w:r>
          </w:p>
        </w:tc>
      </w:tr>
      <w:tr>
        <w:tc>
          <w:tcPr/>
          <w:p>
            <w:pPr>
              <w:pStyle w:val="Compact"/>
              <w:jc w:val="left"/>
            </w:pPr>
            <w:r>
              <w:t xml:space="preserve">6420 Mediterranean tall humid grasslands of the Molinio-Holoschoenion</w:t>
            </w:r>
          </w:p>
        </w:tc>
      </w:tr>
      <w:tr>
        <w:tc>
          <w:tcPr/>
          <w:p>
            <w:pPr>
              <w:pStyle w:val="Compact"/>
              <w:jc w:val="left"/>
            </w:pPr>
            <w:r>
              <w:t xml:space="preserve">6430 Hydrophilous tall herb fringe communities of plains and of the montane to alpine levels</w:t>
            </w:r>
          </w:p>
        </w:tc>
      </w:tr>
      <w:tr>
        <w:tc>
          <w:tcPr/>
          <w:p>
            <w:pPr>
              <w:pStyle w:val="Compact"/>
              <w:jc w:val="left"/>
            </w:pPr>
            <w:r>
              <w:t xml:space="preserve">6440 Alluvial meadows of river valleys of the Cnidion dubii</w:t>
            </w:r>
          </w:p>
        </w:tc>
      </w:tr>
      <w:tr>
        <w:tc>
          <w:tcPr/>
          <w:p>
            <w:pPr>
              <w:pStyle w:val="Compact"/>
              <w:jc w:val="left"/>
            </w:pPr>
            <w:r>
              <w:t xml:space="preserve">6450 Northern boreal alluvial meadows</w:t>
            </w:r>
          </w:p>
        </w:tc>
      </w:tr>
      <w:tr>
        <w:tc>
          <w:tcPr/>
          <w:p>
            <w:pPr>
              <w:pStyle w:val="Compact"/>
              <w:jc w:val="left"/>
            </w:pPr>
            <w:r>
              <w:t xml:space="preserve">6460 Peat grasslands of Troodos*</w:t>
            </w:r>
          </w:p>
        </w:tc>
      </w:tr>
      <w:tr>
        <w:tc>
          <w:tcPr/>
          <w:p>
            <w:pPr>
              <w:pStyle w:val="Compact"/>
              <w:jc w:val="left"/>
            </w:pPr>
            <w:r>
              <w:t xml:space="preserve">6510 Lowland hay meadows (Alopecurus pratensis, Sanguisorba officinalis)</w:t>
            </w:r>
          </w:p>
        </w:tc>
      </w:tr>
      <w:tr>
        <w:tc>
          <w:tcPr/>
          <w:p>
            <w:pPr>
              <w:pStyle w:val="Compact"/>
              <w:jc w:val="left"/>
            </w:pPr>
            <w:r>
              <w:t xml:space="preserve">6520 Mountain hay meadows</w:t>
            </w:r>
          </w:p>
        </w:tc>
      </w:tr>
      <w:tr>
        <w:tc>
          <w:tcPr/>
          <w:p>
            <w:pPr>
              <w:pStyle w:val="Compact"/>
              <w:jc w:val="left"/>
            </w:pPr>
            <w:r>
              <w:t xml:space="preserve">6530 Fennoscandian wooded meadows</w:t>
            </w:r>
          </w:p>
        </w:tc>
      </w:tr>
      <w:tr>
        <w:tc>
          <w:tcPr/>
          <w:p>
            <w:pPr>
              <w:pStyle w:val="Compact"/>
              <w:jc w:val="left"/>
            </w:pPr>
            <w:r>
              <w:t xml:space="preserve">6540 Sub-Mediterranean grasslands of the Molinio-Hordeion secalini</w:t>
            </w:r>
          </w:p>
        </w:tc>
      </w:tr>
    </w:tbl>
    <w:p>
      <w:pPr>
        <w:pStyle w:val="BodyText"/>
      </w:pPr>
      <w:r>
        <w:t xml:space="preserve">* grassland habitat type not covered in the N2K product within the 32 types listed in Annex I of the Habitats Directive</w:t>
      </w:r>
    </w:p>
    <w:bookmarkEnd w:id="67"/>
    <w:bookmarkStart w:id="69" w:name="representativity-analysis"/>
    <w:p>
      <w:pPr>
        <w:pStyle w:val="Heading2"/>
      </w:pPr>
      <w:r>
        <w:t xml:space="preserve">5.3 Representativity analysis</w:t>
      </w:r>
    </w:p>
    <w:p>
      <w:pPr>
        <w:pStyle w:val="FirstParagraph"/>
      </w:pPr>
      <w:r>
        <w:t xml:space="preserve">The final selection of Natura 2000 sites depended to a large extent also on the satellite data availability for 2006 and 2012 in order to avoid data gaps as much as possible. That led to the fact that the mapped Natura 2000 sites are neither equally distributed across Europe nor equally representative of the Member States or the Biogeographical regions: the distribution of the selected sites with a high representation are in South, South-western, Central and Eastern Europe whereas the Nordic countries and the British and Irish Isles are underrepresented.</w:t>
      </w:r>
    </w:p>
    <w:p>
      <w:pPr>
        <w:pStyle w:val="BodyText"/>
      </w:pPr>
      <w:r>
        <w:t xml:space="preserve">Moreover, a considerable number of sites without designated grassland habitats and which were therefore not specifically selected for the mapping,</w:t>
      </w:r>
      <w:r>
        <w:t xml:space="preserve"> </w:t>
      </w:r>
      <w:r>
        <w:rPr>
          <w:b/>
          <w:bCs/>
          <w:u w:val="single"/>
        </w:rPr>
        <w:t xml:space="preserve">still overlap with, or lie completely within</w:t>
      </w:r>
      <w:r>
        <w:t xml:space="preserve"> </w:t>
      </w:r>
      <w:r>
        <w:t xml:space="preserve">the LC/LU mapping boundary (the designated AoI) that is defined by the outline of the selected N2K sites plus a 2 km buffer.</w:t>
      </w:r>
    </w:p>
    <w:p>
      <w:pPr>
        <w:pStyle w:val="BodyText"/>
      </w:pPr>
      <w:r>
        <w:t xml:space="preserve">The boundaries of Member States with coastlines were extended 10km to the sea in order to assure full coverage of all the Natura 2000 sites chosen for the mapping. The additional area of coastal waters is included in every MS with marine area.</w:t>
      </w:r>
    </w:p>
    <w:p>
      <w:pPr>
        <w:pStyle w:val="BodyText"/>
      </w:pPr>
      <w:r>
        <w:t xml:space="preserve">In a first assessment step, the number of sites per MS which are completely covered by the mapping area was compared to the total number of Natura 2000 sites of each MS.</w:t>
      </w:r>
    </w:p>
    <w:p>
      <w:pPr>
        <w:pStyle w:val="BodyText"/>
      </w:pPr>
      <w:r>
        <w:t xml:space="preserve">The mapping area (Natura 2000 sites and buffer) includes sites which are completely covered, as well as some which are only partly covered by the N2K AoI. The number of completely mapped Natura 2000 sites was determined by the N2K LC/LU mapping boundaries. The intention is to show to what degree the Natura 2000 sites with designated grassland habitats of every MS are represented in the CLMS N2K mapping products.</w:t>
      </w:r>
    </w:p>
    <w:p>
      <w:pPr>
        <w:pStyle w:val="BodyText"/>
      </w:pPr>
      <w:r>
        <w:t xml:space="preserve">Some sites, however, where not counted as completely mapped, if the GIS operation identified parts of non-coverage. This is often the case along the coastline, where the sea area has been cut out of the N2K AoI even though the Natura 2000 boundary actually extends a bit further into the open water. Further, the area mapped in every MS (Natura 2000 sites + buffer) is compared and put into relation with the calculated area, which may also include a 10km buffer of coastal waters, if applicable.</w:t>
      </w:r>
    </w:p>
    <w:p>
      <w:pPr>
        <w:pStyle w:val="BodyText"/>
      </w:pPr>
      <w:r>
        <w:t xml:space="preserve">The first part of the assessment indicates a considerable high representation of Natura 2000 sites (disregarding their designated habitat types) for Hungary (44,38%), Italy (38,04%) and Bulgaria (37,46%) and very low representation of Finland (0,32%), United Kingdom (0,96%) and Ireland (0,99%), with an EU average of 17,17%.</w:t>
      </w:r>
    </w:p>
    <w:p>
      <w:pPr>
        <w:pStyle w:val="BodyText"/>
      </w:pPr>
      <w:r>
        <w:t xml:space="preserve">When comparing the area of each MS national territory with the mapped area, Slovenia (42,19%) and Luxembourg (37,76%) as very small countries are at the top of the list but closely followed by large MS like Bulgaria (37,46%) and Spain (31,41%). Again, Finland (0,18%), the United Kingdom (0,33%) and Ireland (0,86%) are only covered to a fraction compared to the EU average of 13,52% (Table 2).</w:t>
      </w:r>
    </w:p>
    <w:p>
      <w:pPr>
        <w:pStyle w:val="TableCaption"/>
      </w:pPr>
      <w:r>
        <w:t xml:space="preserve">Table 2: Representativeness of CLMS N2K mapping for all Natura 2000 site types within each MS</w:t>
      </w:r>
    </w:p>
    <w:tbl>
      <w:tblPr>
        <w:tblStyle w:val="Table"/>
        <w:tblW w:type="pct" w:w="5000"/>
        <w:tblLayout w:type="fixed"/>
        <w:tblLook w:firstRow="1" w:lastRow="0" w:firstColumn="0" w:lastColumn="0" w:noHBand="0" w:noVBand="0" w:val="0020"/>
        <w:tblCaption w:val="Table 2: Representativeness of CLMS N2K mapping for all Natura 2000 site types within each MS"/>
      </w:tblPr>
      <w:tblGrid>
        <w:gridCol w:w="1070"/>
        <w:gridCol w:w="1498"/>
        <w:gridCol w:w="1444"/>
        <w:gridCol w:w="802"/>
        <w:gridCol w:w="1444"/>
        <w:gridCol w:w="856"/>
        <w:gridCol w:w="802"/>
      </w:tblGrid>
      <w:tr>
        <w:trPr>
          <w:tblHeader w:val="on"/>
        </w:trPr>
        <w:tc>
          <w:tcPr/>
          <w:p>
            <w:pPr>
              <w:pStyle w:val="Compact"/>
            </w:pPr>
            <w:r>
              <w:t xml:space="preserve">Member state (MS)</w:t>
            </w:r>
          </w:p>
        </w:tc>
        <w:tc>
          <w:tcPr/>
          <w:p>
            <w:pPr>
              <w:pStyle w:val="Compact"/>
            </w:pPr>
            <w:r>
              <w:t xml:space="preserve">Natura 2000 sites (total)</w:t>
            </w:r>
          </w:p>
        </w:tc>
        <w:tc>
          <w:tcPr/>
          <w:p>
            <w:pPr>
              <w:pStyle w:val="Compact"/>
            </w:pPr>
            <w:r>
              <w:t xml:space="preserve">Natura 2000 sites completely mapped</w:t>
            </w:r>
          </w:p>
        </w:tc>
        <w:tc>
          <w:tcPr/>
          <w:p>
            <w:pPr>
              <w:pStyle w:val="Compact"/>
            </w:pPr>
            <w:r>
              <w:t xml:space="preserve">Share of mapped sites</w:t>
            </w:r>
          </w:p>
        </w:tc>
        <w:tc>
          <w:tcPr/>
          <w:p>
            <w:pPr>
              <w:pStyle w:val="Compact"/>
            </w:pPr>
            <w:r>
              <w:t xml:space="preserve">Total area mapped (km²)</w:t>
            </w:r>
          </w:p>
        </w:tc>
        <w:tc>
          <w:tcPr/>
          <w:p>
            <w:pPr>
              <w:pStyle w:val="Compact"/>
            </w:pPr>
            <w:r>
              <w:t xml:space="preserve">Area MS (km²)</w:t>
            </w:r>
          </w:p>
        </w:tc>
        <w:tc>
          <w:tcPr/>
          <w:p>
            <w:pPr>
              <w:pStyle w:val="Compact"/>
            </w:pPr>
            <w:r>
              <w:t xml:space="preserve">% of MS area</w:t>
            </w:r>
          </w:p>
        </w:tc>
      </w:tr>
      <w:tr>
        <w:tc>
          <w:tcPr/>
          <w:p>
            <w:pPr>
              <w:pStyle w:val="Compact"/>
            </w:pPr>
            <w:r>
              <w:t xml:space="preserve">Austria</w:t>
            </w:r>
          </w:p>
        </w:tc>
        <w:tc>
          <w:tcPr/>
          <w:p>
            <w:pPr>
              <w:pStyle w:val="Compact"/>
            </w:pPr>
            <w:r>
              <w:t xml:space="preserve">350</w:t>
            </w:r>
          </w:p>
        </w:tc>
        <w:tc>
          <w:tcPr/>
          <w:p>
            <w:pPr>
              <w:pStyle w:val="Compact"/>
            </w:pPr>
            <w:r>
              <w:t xml:space="preserve">53</w:t>
            </w:r>
          </w:p>
        </w:tc>
        <w:tc>
          <w:tcPr/>
          <w:p>
            <w:pPr>
              <w:pStyle w:val="Compact"/>
            </w:pPr>
            <w:r>
              <w:t xml:space="preserve">15.14%</w:t>
            </w:r>
          </w:p>
        </w:tc>
        <w:tc>
          <w:tcPr/>
          <w:p>
            <w:pPr>
              <w:pStyle w:val="Compact"/>
            </w:pPr>
            <w:r>
              <w:t xml:space="preserve">8295.83</w:t>
            </w:r>
          </w:p>
        </w:tc>
        <w:tc>
          <w:tcPr/>
          <w:p>
            <w:pPr>
              <w:pStyle w:val="Compact"/>
            </w:pPr>
            <w:r>
              <w:t xml:space="preserve">83927.63</w:t>
            </w:r>
          </w:p>
        </w:tc>
        <w:tc>
          <w:tcPr/>
          <w:p>
            <w:pPr>
              <w:pStyle w:val="Compact"/>
            </w:pPr>
            <w:r>
              <w:t xml:space="preserve">9.88%</w:t>
            </w:r>
          </w:p>
        </w:tc>
      </w:tr>
      <w:tr>
        <w:tc>
          <w:tcPr/>
          <w:p>
            <w:pPr>
              <w:pStyle w:val="Compact"/>
            </w:pPr>
            <w:r>
              <w:t xml:space="preserve">Belgium</w:t>
            </w:r>
          </w:p>
        </w:tc>
        <w:tc>
          <w:tcPr/>
          <w:p>
            <w:pPr>
              <w:pStyle w:val="Compact"/>
            </w:pPr>
            <w:r>
              <w:t xml:space="preserve">310</w:t>
            </w:r>
          </w:p>
        </w:tc>
        <w:tc>
          <w:tcPr/>
          <w:p>
            <w:pPr>
              <w:pStyle w:val="Compact"/>
            </w:pPr>
            <w:r>
              <w:t xml:space="preserve">51</w:t>
            </w:r>
          </w:p>
        </w:tc>
        <w:tc>
          <w:tcPr/>
          <w:p>
            <w:pPr>
              <w:pStyle w:val="Compact"/>
            </w:pPr>
            <w:r>
              <w:t xml:space="preserve">16.45%</w:t>
            </w:r>
          </w:p>
        </w:tc>
        <w:tc>
          <w:tcPr/>
          <w:p>
            <w:pPr>
              <w:pStyle w:val="Compact"/>
            </w:pPr>
            <w:r>
              <w:t xml:space="preserve">6152.43</w:t>
            </w:r>
          </w:p>
        </w:tc>
        <w:tc>
          <w:tcPr/>
          <w:p>
            <w:pPr>
              <w:pStyle w:val="Compact"/>
            </w:pPr>
            <w:r>
              <w:t xml:space="preserve">31349.53</w:t>
            </w:r>
          </w:p>
        </w:tc>
        <w:tc>
          <w:tcPr/>
          <w:p>
            <w:pPr>
              <w:pStyle w:val="Compact"/>
            </w:pPr>
            <w:r>
              <w:t xml:space="preserve">19.63%</w:t>
            </w:r>
          </w:p>
        </w:tc>
      </w:tr>
      <w:tr>
        <w:tc>
          <w:tcPr/>
          <w:p>
            <w:pPr>
              <w:pStyle w:val="Compact"/>
            </w:pPr>
            <w:r>
              <w:t xml:space="preserve">Bulgaria</w:t>
            </w:r>
          </w:p>
        </w:tc>
        <w:tc>
          <w:tcPr/>
          <w:p>
            <w:pPr>
              <w:pStyle w:val="Compact"/>
            </w:pPr>
            <w:r>
              <w:t xml:space="preserve">339</w:t>
            </w:r>
          </w:p>
        </w:tc>
        <w:tc>
          <w:tcPr/>
          <w:p>
            <w:pPr>
              <w:pStyle w:val="Compact"/>
            </w:pPr>
            <w:r>
              <w:t xml:space="preserve">127</w:t>
            </w:r>
          </w:p>
        </w:tc>
        <w:tc>
          <w:tcPr/>
          <w:p>
            <w:pPr>
              <w:pStyle w:val="Compact"/>
            </w:pPr>
            <w:r>
              <w:t xml:space="preserve">37.46%</w:t>
            </w:r>
          </w:p>
        </w:tc>
        <w:tc>
          <w:tcPr/>
          <w:p>
            <w:pPr>
              <w:pStyle w:val="Compact"/>
            </w:pPr>
            <w:r>
              <w:t xml:space="preserve">40686.90</w:t>
            </w:r>
          </w:p>
        </w:tc>
        <w:tc>
          <w:tcPr/>
          <w:p>
            <w:pPr>
              <w:pStyle w:val="Compact"/>
            </w:pPr>
            <w:r>
              <w:t xml:space="preserve">113948.15</w:t>
            </w:r>
          </w:p>
        </w:tc>
        <w:tc>
          <w:tcPr/>
          <w:p>
            <w:pPr>
              <w:pStyle w:val="Compact"/>
            </w:pPr>
            <w:r>
              <w:t xml:space="preserve">35.71%</w:t>
            </w:r>
          </w:p>
        </w:tc>
      </w:tr>
      <w:tr>
        <w:tc>
          <w:tcPr/>
          <w:p>
            <w:pPr>
              <w:pStyle w:val="Compact"/>
            </w:pPr>
            <w:r>
              <w:t xml:space="preserve">Croatia</w:t>
            </w:r>
          </w:p>
        </w:tc>
        <w:tc>
          <w:tcPr/>
          <w:p>
            <w:pPr>
              <w:pStyle w:val="Compact"/>
            </w:pPr>
            <w:r>
              <w:t xml:space="preserve">779</w:t>
            </w:r>
          </w:p>
        </w:tc>
        <w:tc>
          <w:tcPr/>
          <w:p>
            <w:pPr>
              <w:pStyle w:val="Compact"/>
            </w:pPr>
            <w:r>
              <w:t xml:space="preserve">157</w:t>
            </w:r>
          </w:p>
        </w:tc>
        <w:tc>
          <w:tcPr/>
          <w:p>
            <w:pPr>
              <w:pStyle w:val="Compact"/>
            </w:pPr>
            <w:r>
              <w:t xml:space="preserve">20.15%</w:t>
            </w:r>
          </w:p>
        </w:tc>
        <w:tc>
          <w:tcPr/>
          <w:p>
            <w:pPr>
              <w:pStyle w:val="Compact"/>
            </w:pPr>
            <w:r>
              <w:t xml:space="preserve">13312.80</w:t>
            </w:r>
          </w:p>
        </w:tc>
        <w:tc>
          <w:tcPr/>
          <w:p>
            <w:pPr>
              <w:pStyle w:val="Compact"/>
            </w:pPr>
            <w:r>
              <w:t xml:space="preserve">75603.23</w:t>
            </w:r>
          </w:p>
        </w:tc>
        <w:tc>
          <w:tcPr/>
          <w:p>
            <w:pPr>
              <w:pStyle w:val="Compact"/>
            </w:pPr>
            <w:r>
              <w:t xml:space="preserve">17.61%</w:t>
            </w:r>
          </w:p>
        </w:tc>
      </w:tr>
      <w:tr>
        <w:tc>
          <w:tcPr/>
          <w:p>
            <w:pPr>
              <w:pStyle w:val="Compact"/>
            </w:pPr>
            <w:r>
              <w:t xml:space="preserve">Cyprus</w:t>
            </w:r>
          </w:p>
        </w:tc>
        <w:tc>
          <w:tcPr/>
          <w:p>
            <w:pPr>
              <w:pStyle w:val="Compact"/>
            </w:pPr>
            <w:r>
              <w:t xml:space="preserve">63</w:t>
            </w:r>
          </w:p>
        </w:tc>
        <w:tc>
          <w:tcPr/>
          <w:p>
            <w:pPr>
              <w:pStyle w:val="Compact"/>
            </w:pPr>
            <w:r>
              <w:t xml:space="preserve">3</w:t>
            </w:r>
          </w:p>
        </w:tc>
        <w:tc>
          <w:tcPr/>
          <w:p>
            <w:pPr>
              <w:pStyle w:val="Compact"/>
            </w:pPr>
            <w:r>
              <w:t xml:space="preserve">4.76%</w:t>
            </w:r>
          </w:p>
        </w:tc>
        <w:tc>
          <w:tcPr/>
          <w:p>
            <w:pPr>
              <w:pStyle w:val="Compact"/>
            </w:pPr>
            <w:r>
              <w:t xml:space="preserve">440.94</w:t>
            </w:r>
          </w:p>
        </w:tc>
        <w:tc>
          <w:tcPr/>
          <w:p>
            <w:pPr>
              <w:pStyle w:val="Compact"/>
            </w:pPr>
            <w:r>
              <w:t xml:space="preserve">15931.60</w:t>
            </w:r>
          </w:p>
        </w:tc>
        <w:tc>
          <w:tcPr/>
          <w:p>
            <w:pPr>
              <w:pStyle w:val="Compact"/>
            </w:pPr>
            <w:r>
              <w:t xml:space="preserve">2.77%</w:t>
            </w:r>
          </w:p>
        </w:tc>
      </w:tr>
      <w:tr>
        <w:tc>
          <w:tcPr/>
          <w:p>
            <w:pPr>
              <w:pStyle w:val="Compact"/>
            </w:pPr>
            <w:r>
              <w:t xml:space="preserve">Czech Republic</w:t>
            </w:r>
          </w:p>
        </w:tc>
        <w:tc>
          <w:tcPr/>
          <w:p>
            <w:pPr>
              <w:pStyle w:val="Compact"/>
            </w:pPr>
            <w:r>
              <w:t xml:space="preserve">1153</w:t>
            </w:r>
          </w:p>
        </w:tc>
        <w:tc>
          <w:tcPr/>
          <w:p>
            <w:pPr>
              <w:pStyle w:val="Compact"/>
            </w:pPr>
            <w:r>
              <w:t xml:space="preserve">160</w:t>
            </w:r>
          </w:p>
        </w:tc>
        <w:tc>
          <w:tcPr/>
          <w:p>
            <w:pPr>
              <w:pStyle w:val="Compact"/>
            </w:pPr>
            <w:r>
              <w:t xml:space="preserve">13.88%</w:t>
            </w:r>
          </w:p>
        </w:tc>
        <w:tc>
          <w:tcPr/>
          <w:p>
            <w:pPr>
              <w:pStyle w:val="Compact"/>
            </w:pPr>
            <w:r>
              <w:t xml:space="preserve">8587.88</w:t>
            </w:r>
          </w:p>
        </w:tc>
        <w:tc>
          <w:tcPr/>
          <w:p>
            <w:pPr>
              <w:pStyle w:val="Compact"/>
            </w:pPr>
            <w:r>
              <w:t xml:space="preserve">78869.90</w:t>
            </w:r>
          </w:p>
        </w:tc>
        <w:tc>
          <w:tcPr/>
          <w:p>
            <w:pPr>
              <w:pStyle w:val="Compact"/>
            </w:pPr>
            <w:r>
              <w:t xml:space="preserve">10.89%</w:t>
            </w:r>
          </w:p>
        </w:tc>
      </w:tr>
      <w:tr>
        <w:tc>
          <w:tcPr/>
          <w:p>
            <w:pPr>
              <w:pStyle w:val="Compact"/>
            </w:pPr>
            <w:r>
              <w:t xml:space="preserve">Denmark</w:t>
            </w:r>
          </w:p>
        </w:tc>
        <w:tc>
          <w:tcPr/>
          <w:p>
            <w:pPr>
              <w:pStyle w:val="Compact"/>
            </w:pPr>
            <w:r>
              <w:t xml:space="preserve">384</w:t>
            </w:r>
          </w:p>
        </w:tc>
        <w:tc>
          <w:tcPr/>
          <w:p>
            <w:pPr>
              <w:pStyle w:val="Compact"/>
            </w:pPr>
            <w:r>
              <w:t xml:space="preserve">20</w:t>
            </w:r>
          </w:p>
        </w:tc>
        <w:tc>
          <w:tcPr/>
          <w:p>
            <w:pPr>
              <w:pStyle w:val="Compact"/>
            </w:pPr>
            <w:r>
              <w:t xml:space="preserve">5.21%</w:t>
            </w:r>
          </w:p>
        </w:tc>
        <w:tc>
          <w:tcPr/>
          <w:p>
            <w:pPr>
              <w:pStyle w:val="Compact"/>
            </w:pPr>
            <w:r>
              <w:t xml:space="preserve">2750.28</w:t>
            </w:r>
          </w:p>
        </w:tc>
        <w:tc>
          <w:tcPr/>
          <w:p>
            <w:pPr>
              <w:pStyle w:val="Compact"/>
            </w:pPr>
            <w:r>
              <w:t xml:space="preserve">71628.43</w:t>
            </w:r>
          </w:p>
        </w:tc>
        <w:tc>
          <w:tcPr/>
          <w:p>
            <w:pPr>
              <w:pStyle w:val="Compact"/>
            </w:pPr>
            <w:r>
              <w:t xml:space="preserve">3.84%</w:t>
            </w:r>
          </w:p>
        </w:tc>
      </w:tr>
      <w:tr>
        <w:tc>
          <w:tcPr/>
          <w:p>
            <w:pPr>
              <w:pStyle w:val="Compact"/>
            </w:pPr>
            <w:r>
              <w:t xml:space="preserve">Estonia</w:t>
            </w:r>
          </w:p>
        </w:tc>
        <w:tc>
          <w:tcPr/>
          <w:p>
            <w:pPr>
              <w:pStyle w:val="Compact"/>
            </w:pPr>
            <w:r>
              <w:t xml:space="preserve">567</w:t>
            </w:r>
          </w:p>
        </w:tc>
        <w:tc>
          <w:tcPr/>
          <w:p>
            <w:pPr>
              <w:pStyle w:val="Compact"/>
            </w:pPr>
            <w:r>
              <w:t xml:space="preserve">120</w:t>
            </w:r>
          </w:p>
        </w:tc>
        <w:tc>
          <w:tcPr/>
          <w:p>
            <w:pPr>
              <w:pStyle w:val="Compact"/>
            </w:pPr>
            <w:r>
              <w:t xml:space="preserve">21.16%</w:t>
            </w:r>
          </w:p>
        </w:tc>
        <w:tc>
          <w:tcPr/>
          <w:p>
            <w:pPr>
              <w:pStyle w:val="Compact"/>
            </w:pPr>
            <w:r>
              <w:t xml:space="preserve">12385.10</w:t>
            </w:r>
          </w:p>
        </w:tc>
        <w:tc>
          <w:tcPr/>
          <w:p>
            <w:pPr>
              <w:pStyle w:val="Compact"/>
            </w:pPr>
            <w:r>
              <w:t xml:space="preserve">62545.91</w:t>
            </w:r>
          </w:p>
        </w:tc>
        <w:tc>
          <w:tcPr/>
          <w:p>
            <w:pPr>
              <w:pStyle w:val="Compact"/>
            </w:pPr>
            <w:r>
              <w:t xml:space="preserve">19.80%</w:t>
            </w:r>
          </w:p>
        </w:tc>
      </w:tr>
      <w:tr>
        <w:tc>
          <w:tcPr/>
          <w:p>
            <w:pPr>
              <w:pStyle w:val="Compact"/>
            </w:pPr>
            <w:r>
              <w:t xml:space="preserve">Finland</w:t>
            </w:r>
          </w:p>
        </w:tc>
        <w:tc>
          <w:tcPr/>
          <w:p>
            <w:pPr>
              <w:pStyle w:val="Compact"/>
            </w:pPr>
            <w:r>
              <w:t xml:space="preserve">1859</w:t>
            </w:r>
          </w:p>
        </w:tc>
        <w:tc>
          <w:tcPr/>
          <w:p>
            <w:pPr>
              <w:pStyle w:val="Compact"/>
            </w:pPr>
            <w:r>
              <w:t xml:space="preserve">6</w:t>
            </w:r>
          </w:p>
        </w:tc>
        <w:tc>
          <w:tcPr/>
          <w:p>
            <w:pPr>
              <w:pStyle w:val="Compact"/>
            </w:pPr>
            <w:r>
              <w:t xml:space="preserve">0.32%</w:t>
            </w:r>
          </w:p>
        </w:tc>
        <w:tc>
          <w:tcPr/>
          <w:p>
            <w:pPr>
              <w:pStyle w:val="Compact"/>
            </w:pPr>
            <w:r>
              <w:t xml:space="preserve">683.41</w:t>
            </w:r>
          </w:p>
        </w:tc>
        <w:tc>
          <w:tcPr/>
          <w:p>
            <w:pPr>
              <w:pStyle w:val="Compact"/>
            </w:pPr>
            <w:r>
              <w:t xml:space="preserve">384010.79</w:t>
            </w:r>
          </w:p>
        </w:tc>
        <w:tc>
          <w:tcPr/>
          <w:p>
            <w:pPr>
              <w:pStyle w:val="Compact"/>
            </w:pPr>
            <w:r>
              <w:t xml:space="preserve">0.18%</w:t>
            </w:r>
          </w:p>
        </w:tc>
      </w:tr>
      <w:tr>
        <w:tc>
          <w:tcPr/>
          <w:p>
            <w:pPr>
              <w:pStyle w:val="Compact"/>
            </w:pPr>
            <w:r>
              <w:t xml:space="preserve">France</w:t>
            </w:r>
          </w:p>
        </w:tc>
        <w:tc>
          <w:tcPr/>
          <w:p>
            <w:pPr>
              <w:pStyle w:val="Compact"/>
            </w:pPr>
            <w:r>
              <w:t xml:space="preserve">1779</w:t>
            </w:r>
          </w:p>
        </w:tc>
        <w:tc>
          <w:tcPr/>
          <w:p>
            <w:pPr>
              <w:pStyle w:val="Compact"/>
            </w:pPr>
            <w:r>
              <w:t xml:space="preserve">394</w:t>
            </w:r>
          </w:p>
        </w:tc>
        <w:tc>
          <w:tcPr/>
          <w:p>
            <w:pPr>
              <w:pStyle w:val="Compact"/>
            </w:pPr>
            <w:r>
              <w:t xml:space="preserve">22.15%</w:t>
            </w:r>
          </w:p>
        </w:tc>
        <w:tc>
          <w:tcPr/>
          <w:p>
            <w:pPr>
              <w:pStyle w:val="Compact"/>
            </w:pPr>
            <w:r>
              <w:t xml:space="preserve">63840.30</w:t>
            </w:r>
          </w:p>
        </w:tc>
        <w:tc>
          <w:tcPr/>
          <w:p>
            <w:pPr>
              <w:pStyle w:val="Compact"/>
            </w:pPr>
            <w:r>
              <w:t xml:space="preserve">585899.90</w:t>
            </w:r>
          </w:p>
        </w:tc>
        <w:tc>
          <w:tcPr/>
          <w:p>
            <w:pPr>
              <w:pStyle w:val="Compact"/>
            </w:pPr>
            <w:r>
              <w:t xml:space="preserve">10.90%</w:t>
            </w:r>
          </w:p>
        </w:tc>
      </w:tr>
      <w:tr>
        <w:tc>
          <w:tcPr/>
          <w:p>
            <w:pPr>
              <w:pStyle w:val="Compact"/>
            </w:pPr>
            <w:r>
              <w:t xml:space="preserve">Germany</w:t>
            </w:r>
          </w:p>
        </w:tc>
        <w:tc>
          <w:tcPr/>
          <w:p>
            <w:pPr>
              <w:pStyle w:val="Compact"/>
            </w:pPr>
            <w:r>
              <w:t xml:space="preserve">5200</w:t>
            </w:r>
          </w:p>
        </w:tc>
        <w:tc>
          <w:tcPr/>
          <w:p>
            <w:pPr>
              <w:pStyle w:val="Compact"/>
            </w:pPr>
            <w:r>
              <w:t xml:space="preserve">767</w:t>
            </w:r>
          </w:p>
        </w:tc>
        <w:tc>
          <w:tcPr/>
          <w:p>
            <w:pPr>
              <w:pStyle w:val="Compact"/>
            </w:pPr>
            <w:r>
              <w:t xml:space="preserve">14.75%</w:t>
            </w:r>
          </w:p>
        </w:tc>
        <w:tc>
          <w:tcPr/>
          <w:p>
            <w:pPr>
              <w:pStyle w:val="Compact"/>
            </w:pPr>
            <w:r>
              <w:t xml:space="preserve">47540.00</w:t>
            </w:r>
          </w:p>
        </w:tc>
        <w:tc>
          <w:tcPr/>
          <w:p>
            <w:pPr>
              <w:pStyle w:val="Compact"/>
            </w:pPr>
            <w:r>
              <w:t xml:space="preserve">372524.70</w:t>
            </w:r>
          </w:p>
        </w:tc>
        <w:tc>
          <w:tcPr/>
          <w:p>
            <w:pPr>
              <w:pStyle w:val="Compact"/>
            </w:pPr>
            <w:r>
              <w:t xml:space="preserve">12.76%</w:t>
            </w:r>
          </w:p>
        </w:tc>
      </w:tr>
      <w:tr>
        <w:tc>
          <w:tcPr/>
          <w:p>
            <w:pPr>
              <w:pStyle w:val="Compact"/>
            </w:pPr>
            <w:r>
              <w:t xml:space="preserve">Greece</w:t>
            </w:r>
          </w:p>
        </w:tc>
        <w:tc>
          <w:tcPr/>
          <w:p>
            <w:pPr>
              <w:pStyle w:val="Compact"/>
            </w:pPr>
            <w:r>
              <w:t xml:space="preserve">446</w:t>
            </w:r>
          </w:p>
        </w:tc>
        <w:tc>
          <w:tcPr/>
          <w:p>
            <w:pPr>
              <w:pStyle w:val="Compact"/>
            </w:pPr>
            <w:r>
              <w:t xml:space="preserve">34</w:t>
            </w:r>
          </w:p>
        </w:tc>
        <w:tc>
          <w:tcPr/>
          <w:p>
            <w:pPr>
              <w:pStyle w:val="Compact"/>
            </w:pPr>
            <w:r>
              <w:t xml:space="preserve">7.62%</w:t>
            </w:r>
          </w:p>
        </w:tc>
        <w:tc>
          <w:tcPr/>
          <w:p>
            <w:pPr>
              <w:pStyle w:val="Compact"/>
            </w:pPr>
            <w:r>
              <w:t xml:space="preserve">12010.60</w:t>
            </w:r>
          </w:p>
        </w:tc>
        <w:tc>
          <w:tcPr/>
          <w:p>
            <w:pPr>
              <w:pStyle w:val="Compact"/>
            </w:pPr>
            <w:r>
              <w:t xml:space="preserve">236245.66</w:t>
            </w:r>
          </w:p>
        </w:tc>
        <w:tc>
          <w:tcPr/>
          <w:p>
            <w:pPr>
              <w:pStyle w:val="Compact"/>
            </w:pPr>
            <w:r>
              <w:t xml:space="preserve">5.08%</w:t>
            </w:r>
          </w:p>
        </w:tc>
      </w:tr>
      <w:tr>
        <w:tc>
          <w:tcPr/>
          <w:p>
            <w:pPr>
              <w:pStyle w:val="Compact"/>
            </w:pPr>
            <w:r>
              <w:t xml:space="preserve">Hungary</w:t>
            </w:r>
          </w:p>
        </w:tc>
        <w:tc>
          <w:tcPr/>
          <w:p>
            <w:pPr>
              <w:pStyle w:val="Compact"/>
            </w:pPr>
            <w:r>
              <w:t xml:space="preserve">525</w:t>
            </w:r>
          </w:p>
        </w:tc>
        <w:tc>
          <w:tcPr/>
          <w:p>
            <w:pPr>
              <w:pStyle w:val="Compact"/>
            </w:pPr>
            <w:r>
              <w:t xml:space="preserve">233</w:t>
            </w:r>
          </w:p>
        </w:tc>
        <w:tc>
          <w:tcPr/>
          <w:p>
            <w:pPr>
              <w:pStyle w:val="Compact"/>
            </w:pPr>
            <w:r>
              <w:t xml:space="preserve">44.38%</w:t>
            </w:r>
          </w:p>
        </w:tc>
        <w:tc>
          <w:tcPr/>
          <w:p>
            <w:pPr>
              <w:pStyle w:val="Compact"/>
            </w:pPr>
            <w:r>
              <w:t xml:space="preserve">26189.30</w:t>
            </w:r>
          </w:p>
        </w:tc>
        <w:tc>
          <w:tcPr/>
          <w:p>
            <w:pPr>
              <w:pStyle w:val="Compact"/>
            </w:pPr>
            <w:r>
              <w:t xml:space="preserve">94022.25</w:t>
            </w:r>
          </w:p>
        </w:tc>
        <w:tc>
          <w:tcPr/>
          <w:p>
            <w:pPr>
              <w:pStyle w:val="Compact"/>
            </w:pPr>
            <w:r>
              <w:t xml:space="preserve">27.85%</w:t>
            </w:r>
          </w:p>
        </w:tc>
      </w:tr>
      <w:tr>
        <w:tc>
          <w:tcPr/>
          <w:p>
            <w:pPr>
              <w:pStyle w:val="Compact"/>
            </w:pPr>
            <w:r>
              <w:t xml:space="preserve">Ireland</w:t>
            </w:r>
          </w:p>
        </w:tc>
        <w:tc>
          <w:tcPr/>
          <w:p>
            <w:pPr>
              <w:pStyle w:val="Compact"/>
            </w:pPr>
            <w:r>
              <w:t xml:space="preserve">604</w:t>
            </w:r>
          </w:p>
        </w:tc>
        <w:tc>
          <w:tcPr/>
          <w:p>
            <w:pPr>
              <w:pStyle w:val="Compact"/>
            </w:pPr>
            <w:r>
              <w:t xml:space="preserve">6</w:t>
            </w:r>
          </w:p>
        </w:tc>
        <w:tc>
          <w:tcPr/>
          <w:p>
            <w:pPr>
              <w:pStyle w:val="Compact"/>
            </w:pPr>
            <w:r>
              <w:t xml:space="preserve">0.99%</w:t>
            </w:r>
          </w:p>
        </w:tc>
        <w:tc>
          <w:tcPr/>
          <w:p>
            <w:pPr>
              <w:pStyle w:val="Compact"/>
            </w:pPr>
            <w:r>
              <w:t xml:space="preserve">786.51</w:t>
            </w:r>
          </w:p>
        </w:tc>
        <w:tc>
          <w:tcPr/>
          <w:p>
            <w:pPr>
              <w:pStyle w:val="Compact"/>
            </w:pPr>
            <w:r>
              <w:t xml:space="preserve">91139.82</w:t>
            </w:r>
          </w:p>
        </w:tc>
        <w:tc>
          <w:tcPr/>
          <w:p>
            <w:pPr>
              <w:pStyle w:val="Compact"/>
            </w:pPr>
            <w:r>
              <w:t xml:space="preserve">0.86%</w:t>
            </w:r>
          </w:p>
        </w:tc>
      </w:tr>
      <w:tr>
        <w:tc>
          <w:tcPr/>
          <w:p>
            <w:pPr>
              <w:pStyle w:val="Compact"/>
            </w:pPr>
            <w:r>
              <w:t xml:space="preserve">Italy</w:t>
            </w:r>
          </w:p>
        </w:tc>
        <w:tc>
          <w:tcPr/>
          <w:p>
            <w:pPr>
              <w:pStyle w:val="Compact"/>
            </w:pPr>
            <w:r>
              <w:t xml:space="preserve">2613</w:t>
            </w:r>
          </w:p>
        </w:tc>
        <w:tc>
          <w:tcPr/>
          <w:p>
            <w:pPr>
              <w:pStyle w:val="Compact"/>
            </w:pPr>
            <w:r>
              <w:t xml:space="preserve">994</w:t>
            </w:r>
          </w:p>
        </w:tc>
        <w:tc>
          <w:tcPr/>
          <w:p>
            <w:pPr>
              <w:pStyle w:val="Compact"/>
            </w:pPr>
            <w:r>
              <w:t xml:space="preserve">38.04%</w:t>
            </w:r>
          </w:p>
        </w:tc>
        <w:tc>
          <w:tcPr/>
          <w:p>
            <w:pPr>
              <w:pStyle w:val="Compact"/>
            </w:pPr>
            <w:r>
              <w:t xml:space="preserve">78436.60</w:t>
            </w:r>
          </w:p>
        </w:tc>
        <w:tc>
          <w:tcPr/>
          <w:p>
            <w:pPr>
              <w:pStyle w:val="Compact"/>
            </w:pPr>
            <w:r>
              <w:t xml:space="preserve">365392.96</w:t>
            </w:r>
          </w:p>
        </w:tc>
        <w:tc>
          <w:tcPr/>
          <w:p>
            <w:pPr>
              <w:pStyle w:val="Compact"/>
            </w:pPr>
            <w:r>
              <w:t xml:space="preserve">21.47%</w:t>
            </w:r>
          </w:p>
        </w:tc>
      </w:tr>
      <w:tr>
        <w:tc>
          <w:tcPr/>
          <w:p>
            <w:pPr>
              <w:pStyle w:val="Compact"/>
            </w:pPr>
            <w:r>
              <w:t xml:space="preserve">Latvia</w:t>
            </w:r>
          </w:p>
        </w:tc>
        <w:tc>
          <w:tcPr/>
          <w:p>
            <w:pPr>
              <w:pStyle w:val="Compact"/>
            </w:pPr>
            <w:r>
              <w:t xml:space="preserve">333</w:t>
            </w:r>
          </w:p>
        </w:tc>
        <w:tc>
          <w:tcPr/>
          <w:p>
            <w:pPr>
              <w:pStyle w:val="Compact"/>
            </w:pPr>
            <w:r>
              <w:t xml:space="preserve">29</w:t>
            </w:r>
          </w:p>
        </w:tc>
        <w:tc>
          <w:tcPr/>
          <w:p>
            <w:pPr>
              <w:pStyle w:val="Compact"/>
            </w:pPr>
            <w:r>
              <w:t xml:space="preserve">8.71%</w:t>
            </w:r>
          </w:p>
        </w:tc>
        <w:tc>
          <w:tcPr/>
          <w:p>
            <w:pPr>
              <w:pStyle w:val="Compact"/>
            </w:pPr>
            <w:r>
              <w:t xml:space="preserve">3418.80</w:t>
            </w:r>
          </w:p>
        </w:tc>
        <w:tc>
          <w:tcPr/>
          <w:p>
            <w:pPr>
              <w:pStyle w:val="Compact"/>
            </w:pPr>
            <w:r>
              <w:t xml:space="preserve">73070.45</w:t>
            </w:r>
          </w:p>
        </w:tc>
        <w:tc>
          <w:tcPr/>
          <w:p>
            <w:pPr>
              <w:pStyle w:val="Compact"/>
            </w:pPr>
            <w:r>
              <w:t xml:space="preserve">4.68%</w:t>
            </w:r>
          </w:p>
        </w:tc>
      </w:tr>
      <w:tr>
        <w:tc>
          <w:tcPr/>
          <w:p>
            <w:pPr>
              <w:pStyle w:val="Compact"/>
            </w:pPr>
            <w:r>
              <w:t xml:space="preserve">Lithuania</w:t>
            </w:r>
          </w:p>
        </w:tc>
        <w:tc>
          <w:tcPr/>
          <w:p>
            <w:pPr>
              <w:pStyle w:val="Compact"/>
            </w:pPr>
            <w:r>
              <w:t xml:space="preserve">559</w:t>
            </w:r>
          </w:p>
        </w:tc>
        <w:tc>
          <w:tcPr/>
          <w:p>
            <w:pPr>
              <w:pStyle w:val="Compact"/>
            </w:pPr>
            <w:r>
              <w:t xml:space="preserve">61</w:t>
            </w:r>
          </w:p>
        </w:tc>
        <w:tc>
          <w:tcPr/>
          <w:p>
            <w:pPr>
              <w:pStyle w:val="Compact"/>
            </w:pPr>
            <w:r>
              <w:t xml:space="preserve">10.91%</w:t>
            </w:r>
          </w:p>
        </w:tc>
        <w:tc>
          <w:tcPr/>
          <w:p>
            <w:pPr>
              <w:pStyle w:val="Compact"/>
            </w:pPr>
            <w:r>
              <w:t xml:space="preserve">2565.31</w:t>
            </w:r>
          </w:p>
        </w:tc>
        <w:tc>
          <w:tcPr/>
          <w:p>
            <w:pPr>
              <w:pStyle w:val="Compact"/>
            </w:pPr>
            <w:r>
              <w:t xml:space="preserve">72943.46</w:t>
            </w:r>
          </w:p>
        </w:tc>
        <w:tc>
          <w:tcPr/>
          <w:p>
            <w:pPr>
              <w:pStyle w:val="Compact"/>
            </w:pPr>
            <w:r>
              <w:t xml:space="preserve">3.52%</w:t>
            </w:r>
          </w:p>
        </w:tc>
      </w:tr>
      <w:tr>
        <w:tc>
          <w:tcPr/>
          <w:p>
            <w:pPr>
              <w:pStyle w:val="Compact"/>
            </w:pPr>
            <w:r>
              <w:t xml:space="preserve">Luxembourg</w:t>
            </w:r>
          </w:p>
        </w:tc>
        <w:tc>
          <w:tcPr/>
          <w:p>
            <w:pPr>
              <w:pStyle w:val="Compact"/>
            </w:pPr>
            <w:r>
              <w:t xml:space="preserve">66</w:t>
            </w:r>
          </w:p>
        </w:tc>
        <w:tc>
          <w:tcPr/>
          <w:p>
            <w:pPr>
              <w:pStyle w:val="Compact"/>
            </w:pPr>
            <w:r>
              <w:t xml:space="preserve">20</w:t>
            </w:r>
          </w:p>
        </w:tc>
        <w:tc>
          <w:tcPr/>
          <w:p>
            <w:pPr>
              <w:pStyle w:val="Compact"/>
            </w:pPr>
            <w:r>
              <w:t xml:space="preserve">30.30%</w:t>
            </w:r>
          </w:p>
        </w:tc>
        <w:tc>
          <w:tcPr/>
          <w:p>
            <w:pPr>
              <w:pStyle w:val="Compact"/>
            </w:pPr>
            <w:r>
              <w:t xml:space="preserve">980.15</w:t>
            </w:r>
          </w:p>
        </w:tc>
        <w:tc>
          <w:tcPr/>
          <w:p>
            <w:pPr>
              <w:pStyle w:val="Compact"/>
            </w:pPr>
            <w:r>
              <w:t xml:space="preserve">2595.77</w:t>
            </w:r>
          </w:p>
        </w:tc>
        <w:tc>
          <w:tcPr/>
          <w:p>
            <w:pPr>
              <w:pStyle w:val="Compact"/>
            </w:pPr>
            <w:r>
              <w:t xml:space="preserve">37.76%</w:t>
            </w:r>
          </w:p>
        </w:tc>
      </w:tr>
      <w:tr>
        <w:tc>
          <w:tcPr/>
          <w:p>
            <w:pPr>
              <w:pStyle w:val="Compact"/>
            </w:pPr>
            <w:r>
              <w:t xml:space="preserve">Malta</w:t>
            </w:r>
          </w:p>
        </w:tc>
        <w:tc>
          <w:tcPr/>
          <w:p>
            <w:pPr>
              <w:pStyle w:val="Compact"/>
            </w:pPr>
            <w:r>
              <w:t xml:space="preserve">52</w:t>
            </w:r>
          </w:p>
        </w:tc>
        <w:tc>
          <w:tcPr/>
          <w:p>
            <w:pPr>
              <w:pStyle w:val="Compact"/>
            </w:pPr>
            <w:r>
              <w:t xml:space="preserve">3</w:t>
            </w:r>
          </w:p>
        </w:tc>
        <w:tc>
          <w:tcPr/>
          <w:p>
            <w:pPr>
              <w:pStyle w:val="Compact"/>
            </w:pPr>
            <w:r>
              <w:t xml:space="preserve">5.77%</w:t>
            </w:r>
          </w:p>
        </w:tc>
        <w:tc>
          <w:tcPr/>
          <w:p>
            <w:pPr>
              <w:pStyle w:val="Compact"/>
            </w:pPr>
            <w:r>
              <w:t xml:space="preserve">114.79</w:t>
            </w:r>
          </w:p>
        </w:tc>
        <w:tc>
          <w:tcPr/>
          <w:p>
            <w:pPr>
              <w:pStyle w:val="Compact"/>
            </w:pPr>
            <w:r>
              <w:t xml:space="preserve">1717.87</w:t>
            </w:r>
          </w:p>
        </w:tc>
        <w:tc>
          <w:tcPr/>
          <w:p>
            <w:pPr>
              <w:pStyle w:val="Compact"/>
            </w:pPr>
            <w:r>
              <w:t xml:space="preserve">6.68%</w:t>
            </w:r>
          </w:p>
        </w:tc>
      </w:tr>
      <w:tr>
        <w:tc>
          <w:tcPr/>
          <w:p>
            <w:pPr>
              <w:pStyle w:val="Compact"/>
            </w:pPr>
            <w:r>
              <w:t xml:space="preserve">Netherlands</w:t>
            </w:r>
          </w:p>
        </w:tc>
        <w:tc>
          <w:tcPr/>
          <w:p>
            <w:pPr>
              <w:pStyle w:val="Compact"/>
            </w:pPr>
            <w:r>
              <w:t xml:space="preserve">196</w:t>
            </w:r>
          </w:p>
        </w:tc>
        <w:tc>
          <w:tcPr/>
          <w:p>
            <w:pPr>
              <w:pStyle w:val="Compact"/>
            </w:pPr>
            <w:r>
              <w:t xml:space="preserve">9</w:t>
            </w:r>
          </w:p>
        </w:tc>
        <w:tc>
          <w:tcPr/>
          <w:p>
            <w:pPr>
              <w:pStyle w:val="Compact"/>
            </w:pPr>
            <w:r>
              <w:t xml:space="preserve">4.59%</w:t>
            </w:r>
          </w:p>
        </w:tc>
        <w:tc>
          <w:tcPr/>
          <w:p>
            <w:pPr>
              <w:pStyle w:val="Compact"/>
            </w:pPr>
            <w:r>
              <w:t xml:space="preserve">1918.43</w:t>
            </w:r>
          </w:p>
        </w:tc>
        <w:tc>
          <w:tcPr/>
          <w:p>
            <w:pPr>
              <w:pStyle w:val="Compact"/>
            </w:pPr>
            <w:r>
              <w:t xml:space="preserve">44292.10</w:t>
            </w:r>
          </w:p>
        </w:tc>
        <w:tc>
          <w:tcPr/>
          <w:p>
            <w:pPr>
              <w:pStyle w:val="Compact"/>
            </w:pPr>
            <w:r>
              <w:t xml:space="preserve">4.33%</w:t>
            </w:r>
          </w:p>
        </w:tc>
      </w:tr>
      <w:tr>
        <w:tc>
          <w:tcPr/>
          <w:p>
            <w:pPr>
              <w:pStyle w:val="Compact"/>
            </w:pPr>
            <w:r>
              <w:t xml:space="preserve">Poland</w:t>
            </w:r>
          </w:p>
        </w:tc>
        <w:tc>
          <w:tcPr/>
          <w:p>
            <w:pPr>
              <w:pStyle w:val="Compact"/>
            </w:pPr>
            <w:r>
              <w:t xml:space="preserve">984</w:t>
            </w:r>
          </w:p>
        </w:tc>
        <w:tc>
          <w:tcPr/>
          <w:p>
            <w:pPr>
              <w:pStyle w:val="Compact"/>
            </w:pPr>
            <w:r>
              <w:t xml:space="preserve">242</w:t>
            </w:r>
          </w:p>
        </w:tc>
        <w:tc>
          <w:tcPr/>
          <w:p>
            <w:pPr>
              <w:pStyle w:val="Compact"/>
            </w:pPr>
            <w:r>
              <w:t xml:space="preserve">24.59%</w:t>
            </w:r>
          </w:p>
        </w:tc>
        <w:tc>
          <w:tcPr/>
          <w:p>
            <w:pPr>
              <w:pStyle w:val="Compact"/>
            </w:pPr>
            <w:r>
              <w:t xml:space="preserve">45526.40</w:t>
            </w:r>
          </w:p>
        </w:tc>
        <w:tc>
          <w:tcPr/>
          <w:p>
            <w:pPr>
              <w:pStyle w:val="Compact"/>
            </w:pPr>
            <w:r>
              <w:t xml:space="preserve">326678.13</w:t>
            </w:r>
          </w:p>
        </w:tc>
        <w:tc>
          <w:tcPr/>
          <w:p>
            <w:pPr>
              <w:pStyle w:val="Compact"/>
            </w:pPr>
            <w:r>
              <w:t xml:space="preserve">13.94%</w:t>
            </w:r>
          </w:p>
        </w:tc>
      </w:tr>
      <w:tr>
        <w:tc>
          <w:tcPr/>
          <w:p>
            <w:pPr>
              <w:pStyle w:val="Compact"/>
            </w:pPr>
            <w:r>
              <w:t xml:space="preserve">Portugal</w:t>
            </w:r>
          </w:p>
        </w:tc>
        <w:tc>
          <w:tcPr/>
          <w:p>
            <w:pPr>
              <w:pStyle w:val="Compact"/>
            </w:pPr>
            <w:r>
              <w:t xml:space="preserve">166</w:t>
            </w:r>
          </w:p>
        </w:tc>
        <w:tc>
          <w:tcPr/>
          <w:p>
            <w:pPr>
              <w:pStyle w:val="Compact"/>
            </w:pPr>
            <w:r>
              <w:t xml:space="preserve">22</w:t>
            </w:r>
          </w:p>
        </w:tc>
        <w:tc>
          <w:tcPr/>
          <w:p>
            <w:pPr>
              <w:pStyle w:val="Compact"/>
            </w:pPr>
            <w:r>
              <w:t xml:space="preserve">13.25%</w:t>
            </w:r>
          </w:p>
        </w:tc>
        <w:tc>
          <w:tcPr/>
          <w:p>
            <w:pPr>
              <w:pStyle w:val="Compact"/>
            </w:pPr>
            <w:r>
              <w:t xml:space="preserve">10444.80</w:t>
            </w:r>
          </w:p>
        </w:tc>
        <w:tc>
          <w:tcPr/>
          <w:p>
            <w:pPr>
              <w:pStyle w:val="Compact"/>
            </w:pPr>
            <w:r>
              <w:t xml:space="preserve">113707.07</w:t>
            </w:r>
          </w:p>
        </w:tc>
        <w:tc>
          <w:tcPr/>
          <w:p>
            <w:pPr>
              <w:pStyle w:val="Compact"/>
            </w:pPr>
            <w:r>
              <w:t xml:space="preserve">9.19%</w:t>
            </w:r>
          </w:p>
        </w:tc>
      </w:tr>
      <w:tr>
        <w:tc>
          <w:tcPr/>
          <w:p>
            <w:pPr>
              <w:pStyle w:val="Compact"/>
            </w:pPr>
            <w:r>
              <w:t xml:space="preserve">Romania</w:t>
            </w:r>
          </w:p>
        </w:tc>
        <w:tc>
          <w:tcPr/>
          <w:p>
            <w:pPr>
              <w:pStyle w:val="Compact"/>
            </w:pPr>
            <w:r>
              <w:t xml:space="preserve">606</w:t>
            </w:r>
          </w:p>
        </w:tc>
        <w:tc>
          <w:tcPr/>
          <w:p>
            <w:pPr>
              <w:pStyle w:val="Compact"/>
            </w:pPr>
            <w:r>
              <w:t xml:space="preserve">105</w:t>
            </w:r>
          </w:p>
        </w:tc>
        <w:tc>
          <w:tcPr/>
          <w:p>
            <w:pPr>
              <w:pStyle w:val="Compact"/>
            </w:pPr>
            <w:r>
              <w:t xml:space="preserve">17.33%</w:t>
            </w:r>
          </w:p>
        </w:tc>
        <w:tc>
          <w:tcPr/>
          <w:p>
            <w:pPr>
              <w:pStyle w:val="Compact"/>
            </w:pPr>
            <w:r>
              <w:t xml:space="preserve">38392.70</w:t>
            </w:r>
          </w:p>
        </w:tc>
        <w:tc>
          <w:tcPr/>
          <w:p>
            <w:pPr>
              <w:pStyle w:val="Compact"/>
            </w:pPr>
            <w:r>
              <w:t xml:space="preserve">249883.33</w:t>
            </w:r>
          </w:p>
        </w:tc>
        <w:tc>
          <w:tcPr/>
          <w:p>
            <w:pPr>
              <w:pStyle w:val="Compact"/>
            </w:pPr>
            <w:r>
              <w:t xml:space="preserve">15.36%</w:t>
            </w:r>
          </w:p>
        </w:tc>
      </w:tr>
      <w:tr>
        <w:tc>
          <w:tcPr/>
          <w:p>
            <w:pPr>
              <w:pStyle w:val="Compact"/>
            </w:pPr>
            <w:r>
              <w:t xml:space="preserve">Slovakia</w:t>
            </w:r>
          </w:p>
        </w:tc>
        <w:tc>
          <w:tcPr/>
          <w:p>
            <w:pPr>
              <w:pStyle w:val="Compact"/>
            </w:pPr>
            <w:r>
              <w:t xml:space="preserve">683</w:t>
            </w:r>
          </w:p>
        </w:tc>
        <w:tc>
          <w:tcPr/>
          <w:p>
            <w:pPr>
              <w:pStyle w:val="Compact"/>
            </w:pPr>
            <w:r>
              <w:t xml:space="preserve">161</w:t>
            </w:r>
          </w:p>
        </w:tc>
        <w:tc>
          <w:tcPr/>
          <w:p>
            <w:pPr>
              <w:pStyle w:val="Compact"/>
            </w:pPr>
            <w:r>
              <w:t xml:space="preserve">23.57%</w:t>
            </w:r>
          </w:p>
        </w:tc>
        <w:tc>
          <w:tcPr/>
          <w:p>
            <w:pPr>
              <w:pStyle w:val="Compact"/>
            </w:pPr>
            <w:r>
              <w:t xml:space="preserve">9635.40</w:t>
            </w:r>
          </w:p>
        </w:tc>
        <w:tc>
          <w:tcPr/>
          <w:p>
            <w:pPr>
              <w:pStyle w:val="Compact"/>
            </w:pPr>
            <w:r>
              <w:t xml:space="preserve">49665.16</w:t>
            </w:r>
          </w:p>
        </w:tc>
        <w:tc>
          <w:tcPr/>
          <w:p>
            <w:pPr>
              <w:pStyle w:val="Compact"/>
            </w:pPr>
            <w:r>
              <w:t xml:space="preserve">19.40%</w:t>
            </w:r>
          </w:p>
        </w:tc>
      </w:tr>
      <w:tr>
        <w:tc>
          <w:tcPr/>
          <w:p>
            <w:pPr>
              <w:pStyle w:val="Compact"/>
            </w:pPr>
            <w:r>
              <w:t xml:space="preserve">Slovenia</w:t>
            </w:r>
          </w:p>
        </w:tc>
        <w:tc>
          <w:tcPr/>
          <w:p>
            <w:pPr>
              <w:pStyle w:val="Compact"/>
            </w:pPr>
            <w:r>
              <w:t xml:space="preserve">355</w:t>
            </w:r>
          </w:p>
        </w:tc>
        <w:tc>
          <w:tcPr/>
          <w:p>
            <w:pPr>
              <w:pStyle w:val="Compact"/>
            </w:pPr>
            <w:r>
              <w:t xml:space="preserve">80</w:t>
            </w:r>
          </w:p>
        </w:tc>
        <w:tc>
          <w:tcPr/>
          <w:p>
            <w:pPr>
              <w:pStyle w:val="Compact"/>
            </w:pPr>
            <w:r>
              <w:t xml:space="preserve">22.54%</w:t>
            </w:r>
          </w:p>
        </w:tc>
        <w:tc>
          <w:tcPr/>
          <w:p>
            <w:pPr>
              <w:pStyle w:val="Compact"/>
            </w:pPr>
            <w:r>
              <w:t xml:space="preserve">8637.47</w:t>
            </w:r>
          </w:p>
        </w:tc>
        <w:tc>
          <w:tcPr/>
          <w:p>
            <w:pPr>
              <w:pStyle w:val="Compact"/>
            </w:pPr>
            <w:r>
              <w:t xml:space="preserve">20473.70</w:t>
            </w:r>
          </w:p>
        </w:tc>
        <w:tc>
          <w:tcPr/>
          <w:p>
            <w:pPr>
              <w:pStyle w:val="Compact"/>
            </w:pPr>
            <w:r>
              <w:t xml:space="preserve">42.19%</w:t>
            </w:r>
          </w:p>
        </w:tc>
      </w:tr>
      <w:tr>
        <w:tc>
          <w:tcPr/>
          <w:p>
            <w:pPr>
              <w:pStyle w:val="Compact"/>
            </w:pPr>
            <w:r>
              <w:t xml:space="preserve">Spain</w:t>
            </w:r>
          </w:p>
        </w:tc>
        <w:tc>
          <w:tcPr/>
          <w:p>
            <w:pPr>
              <w:pStyle w:val="Compact"/>
            </w:pPr>
            <w:r>
              <w:t xml:space="preserve">1863</w:t>
            </w:r>
          </w:p>
        </w:tc>
        <w:tc>
          <w:tcPr/>
          <w:p>
            <w:pPr>
              <w:pStyle w:val="Compact"/>
            </w:pPr>
            <w:r>
              <w:t xml:space="preserve">569</w:t>
            </w:r>
          </w:p>
        </w:tc>
        <w:tc>
          <w:tcPr/>
          <w:p>
            <w:pPr>
              <w:pStyle w:val="Compact"/>
            </w:pPr>
            <w:r>
              <w:t xml:space="preserve">30.54%</w:t>
            </w:r>
          </w:p>
        </w:tc>
        <w:tc>
          <w:tcPr/>
          <w:p>
            <w:pPr>
              <w:pStyle w:val="Compact"/>
            </w:pPr>
            <w:r>
              <w:t xml:space="preserve">174763.00</w:t>
            </w:r>
          </w:p>
        </w:tc>
        <w:tc>
          <w:tcPr/>
          <w:p>
            <w:pPr>
              <w:pStyle w:val="Compact"/>
            </w:pPr>
            <w:r>
              <w:t xml:space="preserve">556466.17</w:t>
            </w:r>
          </w:p>
        </w:tc>
        <w:tc>
          <w:tcPr/>
          <w:p>
            <w:pPr>
              <w:pStyle w:val="Compact"/>
            </w:pPr>
            <w:r>
              <w:t xml:space="preserve">31.41%</w:t>
            </w:r>
          </w:p>
        </w:tc>
      </w:tr>
      <w:tr>
        <w:tc>
          <w:tcPr/>
          <w:p>
            <w:pPr>
              <w:pStyle w:val="Compact"/>
            </w:pPr>
            <w:r>
              <w:t xml:space="preserve">Sweden</w:t>
            </w:r>
          </w:p>
        </w:tc>
        <w:tc>
          <w:tcPr/>
          <w:p>
            <w:pPr>
              <w:pStyle w:val="Compact"/>
            </w:pPr>
            <w:r>
              <w:t xml:space="preserve">4087</w:t>
            </w:r>
          </w:p>
        </w:tc>
        <w:tc>
          <w:tcPr/>
          <w:p>
            <w:pPr>
              <w:pStyle w:val="Compact"/>
            </w:pPr>
            <w:r>
              <w:t xml:space="preserve">352</w:t>
            </w:r>
          </w:p>
        </w:tc>
        <w:tc>
          <w:tcPr/>
          <w:p>
            <w:pPr>
              <w:pStyle w:val="Compact"/>
            </w:pPr>
            <w:r>
              <w:t xml:space="preserve">8.61%</w:t>
            </w:r>
          </w:p>
        </w:tc>
        <w:tc>
          <w:tcPr/>
          <w:p>
            <w:pPr>
              <w:pStyle w:val="Compact"/>
            </w:pPr>
            <w:r>
              <w:t xml:space="preserve">9476.23</w:t>
            </w:r>
          </w:p>
        </w:tc>
        <w:tc>
          <w:tcPr/>
          <w:p>
            <w:pPr>
              <w:pStyle w:val="Compact"/>
            </w:pPr>
            <w:r>
              <w:t xml:space="preserve">495428.75</w:t>
            </w:r>
          </w:p>
        </w:tc>
        <w:tc>
          <w:tcPr/>
          <w:p>
            <w:pPr>
              <w:pStyle w:val="Compact"/>
            </w:pPr>
            <w:r>
              <w:t xml:space="preserve">1.91%</w:t>
            </w:r>
          </w:p>
        </w:tc>
      </w:tr>
      <w:tr>
        <w:tc>
          <w:tcPr/>
          <w:p>
            <w:pPr>
              <w:pStyle w:val="Compact"/>
            </w:pPr>
            <w:r>
              <w:t xml:space="preserve">Switzerland</w:t>
            </w:r>
          </w:p>
        </w:tc>
        <w:tc>
          <w:tcPr/>
          <w:p>
            <w:pPr>
              <w:pStyle w:val="Compact"/>
            </w:pPr>
            <w:r>
              <w:t xml:space="preserve">37</w:t>
            </w:r>
          </w:p>
        </w:tc>
        <w:tc>
          <w:tcPr/>
          <w:p>
            <w:pPr>
              <w:pStyle w:val="Compact"/>
            </w:pPr>
            <w:r>
              <w:t xml:space="preserve">3</w:t>
            </w:r>
          </w:p>
        </w:tc>
        <w:tc>
          <w:tcPr/>
          <w:p>
            <w:pPr>
              <w:pStyle w:val="Compact"/>
            </w:pPr>
            <w:r>
              <w:t xml:space="preserve">8.11%</w:t>
            </w:r>
          </w:p>
        </w:tc>
        <w:tc>
          <w:tcPr/>
          <w:p>
            <w:pPr>
              <w:pStyle w:val="Compact"/>
            </w:pPr>
            <w:r>
              <w:t xml:space="preserve">938.88</w:t>
            </w:r>
          </w:p>
        </w:tc>
        <w:tc>
          <w:tcPr/>
          <w:p>
            <w:pPr>
              <w:pStyle w:val="Compact"/>
            </w:pPr>
            <w:r>
              <w:t xml:space="preserve">41280.13</w:t>
            </w:r>
          </w:p>
        </w:tc>
        <w:tc>
          <w:tcPr/>
          <w:p>
            <w:pPr>
              <w:pStyle w:val="Compact"/>
            </w:pPr>
            <w:r>
              <w:t xml:space="preserve">2.27%</w:t>
            </w:r>
          </w:p>
        </w:tc>
      </w:tr>
      <w:tr>
        <w:tc>
          <w:tcPr/>
          <w:p>
            <w:pPr>
              <w:pStyle w:val="Compact"/>
            </w:pPr>
            <w:r>
              <w:t xml:space="preserve">United Kingdom</w:t>
            </w:r>
          </w:p>
        </w:tc>
        <w:tc>
          <w:tcPr/>
          <w:p>
            <w:pPr>
              <w:pStyle w:val="Compact"/>
            </w:pPr>
            <w:r>
              <w:t xml:space="preserve">935</w:t>
            </w:r>
          </w:p>
        </w:tc>
        <w:tc>
          <w:tcPr/>
          <w:p>
            <w:pPr>
              <w:pStyle w:val="Compact"/>
            </w:pPr>
            <w:r>
              <w:t xml:space="preserve">9</w:t>
            </w:r>
          </w:p>
        </w:tc>
        <w:tc>
          <w:tcPr/>
          <w:p>
            <w:pPr>
              <w:pStyle w:val="Compact"/>
            </w:pPr>
            <w:r>
              <w:t xml:space="preserve">0.96%</w:t>
            </w:r>
          </w:p>
        </w:tc>
        <w:tc>
          <w:tcPr/>
          <w:p>
            <w:pPr>
              <w:pStyle w:val="Compact"/>
            </w:pPr>
            <w:r>
              <w:t xml:space="preserve">1078.16</w:t>
            </w:r>
          </w:p>
        </w:tc>
        <w:tc>
          <w:tcPr/>
          <w:p>
            <w:pPr>
              <w:pStyle w:val="Compact"/>
            </w:pPr>
            <w:r>
              <w:t xml:space="preserve">326416.02</w:t>
            </w:r>
          </w:p>
        </w:tc>
        <w:tc>
          <w:tcPr/>
          <w:p>
            <w:pPr>
              <w:pStyle w:val="Compact"/>
            </w:pPr>
            <w:r>
              <w:t xml:space="preserve">0.33%</w:t>
            </w:r>
          </w:p>
        </w:tc>
      </w:tr>
      <w:tr>
        <w:tc>
          <w:tcPr/>
          <w:p>
            <w:pPr>
              <w:pStyle w:val="Compact"/>
            </w:pPr>
            <w:r>
              <w:rPr>
                <w:b/>
                <w:bCs/>
              </w:rPr>
              <w:t xml:space="preserve">TOTAL</w:t>
            </w:r>
          </w:p>
        </w:tc>
        <w:tc>
          <w:tcPr/>
          <w:p>
            <w:pPr>
              <w:pStyle w:val="Compact"/>
            </w:pPr>
            <w:r>
              <w:rPr>
                <w:b/>
                <w:bCs/>
              </w:rPr>
              <w:t xml:space="preserve">27893</w:t>
            </w:r>
          </w:p>
        </w:tc>
        <w:tc>
          <w:tcPr/>
          <w:p>
            <w:pPr>
              <w:pStyle w:val="Compact"/>
            </w:pPr>
            <w:r>
              <w:rPr>
                <w:b/>
                <w:bCs/>
              </w:rPr>
              <w:t xml:space="preserve">4790</w:t>
            </w:r>
          </w:p>
        </w:tc>
        <w:tc>
          <w:tcPr/>
          <w:p>
            <w:pPr>
              <w:pStyle w:val="Compact"/>
            </w:pPr>
            <w:r>
              <w:rPr>
                <w:b/>
                <w:bCs/>
              </w:rPr>
              <w:t xml:space="preserve">17.17%</w:t>
            </w:r>
          </w:p>
        </w:tc>
        <w:tc>
          <w:tcPr/>
          <w:p>
            <w:pPr>
              <w:pStyle w:val="Compact"/>
            </w:pPr>
            <w:r>
              <w:rPr>
                <w:b/>
                <w:bCs/>
              </w:rPr>
              <w:t xml:space="preserve">629989.41</w:t>
            </w:r>
          </w:p>
        </w:tc>
        <w:tc>
          <w:tcPr/>
          <w:p>
            <w:pPr>
              <w:pStyle w:val="Compact"/>
            </w:pPr>
            <w:r>
              <w:rPr>
                <w:b/>
                <w:bCs/>
              </w:rPr>
              <w:t xml:space="preserve">5037658.58</w:t>
            </w:r>
          </w:p>
        </w:tc>
        <w:tc>
          <w:tcPr/>
          <w:p>
            <w:pPr>
              <w:pStyle w:val="Compact"/>
            </w:pPr>
            <w:r>
              <w:rPr>
                <w:b/>
                <w:bCs/>
              </w:rPr>
              <w:t xml:space="preserve">13.52%</w:t>
            </w:r>
            <w:r>
              <w:t xml:space="preserve">*</w:t>
            </w:r>
          </w:p>
        </w:tc>
      </w:tr>
    </w:tbl>
    <w:p>
      <w:pPr>
        <w:pStyle w:val="BodyText"/>
      </w:pPr>
      <w:r>
        <w:rPr>
          <w:i/>
          <w:iCs/>
        </w:rPr>
        <w:t xml:space="preserve">²MS size is overestimated due to the sea buffer calculation. Since the Eastern European countries, which are not member of the EEA 39, are not included in the layer, the neighbouring countries were treated as sea and buffered with 10km into the neighbouring country.</w:t>
      </w:r>
    </w:p>
    <w:p>
      <w:pPr>
        <w:pStyle w:val="BodyText"/>
      </w:pPr>
      <w:r>
        <w:rPr>
          <w:i/>
          <w:iCs/>
        </w:rPr>
        <w:t xml:space="preserve">*Average taken from all MS. The percentage of comparing the sum of all calculated MS areas with the total mapped area would be roughly 8%.</w:t>
      </w:r>
    </w:p>
    <w:p>
      <w:pPr>
        <w:pStyle w:val="BodyText"/>
      </w:pPr>
      <w:r>
        <w:t xml:space="preserve">The focus of the CLMS N2K mapping was put on sites with grassland habitats. These are considered as especially rich in biodiversity and face a declining trend in most parts of the Member States. Table 3 below gives an overview of the number of sites which contain at least one declared type of grassland type (according to the Natura 2000</w:t>
      </w:r>
      <w:r>
        <w:t xml:space="preserve"> </w:t>
      </w:r>
      <w:hyperlink r:id="rId68">
        <w:r>
          <w:rPr>
            <w:rStyle w:val="Hyperlink"/>
          </w:rPr>
          <w:t xml:space="preserve">Standard Data Forms)</w:t>
        </w:r>
      </w:hyperlink>
      <w:r>
        <w:t xml:space="preserve"> </w:t>
      </w:r>
      <w:r>
        <w:t xml:space="preserve">and its coverage by the LC/LU mapping.</w:t>
      </w:r>
    </w:p>
    <w:p>
      <w:pPr>
        <w:pStyle w:val="BodyText"/>
      </w:pPr>
      <w:r>
        <w:t xml:space="preserve">The assessment of the representativeness of sites with grassland habitats produces a high number for Slovenia (71,64%), Croatia (57,97%) and Bulgaria (56,50%). A low representativeness of grassland habitats is found in Finland (1,85%), the United Kingdom (3,93%) and Ireland (6,76%). In some MS, also a considerable high number of sites with grassland habitats is partly mapped and, in some MS, the percentage of these sites which are not mapped at all is comparably high, e.g. Austria, Cyprus, Denmark, Sweden and the Netherlands. Note that this table includes all sites which were listed in the year 2018 and the number of grassland sites may have been lower when the sites were chosen for the 2006-2012 mapping.</w:t>
      </w:r>
    </w:p>
    <w:p>
      <w:pPr>
        <w:pStyle w:val="BodyText"/>
      </w:pPr>
      <w:r>
        <w:t xml:space="preserve">Grassland sites:</w:t>
      </w:r>
    </w:p>
    <w:p>
      <w:pPr>
        <w:pStyle w:val="TableCaption"/>
      </w:pPr>
      <w:r>
        <w:t xml:space="preserve">Table 3: Representativeness of Natura 2000 sites with grassland habitat types per MS.</w:t>
      </w:r>
    </w:p>
    <w:tbl>
      <w:tblPr>
        <w:tblStyle w:val="Table"/>
        <w:tblW w:type="pct" w:w="5000"/>
        <w:tblLayout w:type="fixed"/>
        <w:tblLook w:firstRow="1" w:lastRow="0" w:firstColumn="0" w:lastColumn="0" w:noHBand="0" w:noVBand="0" w:val="0020"/>
        <w:tblCaption w:val="Table 3: Representativeness of Natura 2000 sites with grassland habitat types per MS."/>
      </w:tblPr>
      <w:tblGrid>
        <w:gridCol w:w="1480"/>
        <w:gridCol w:w="518"/>
        <w:gridCol w:w="962"/>
        <w:gridCol w:w="1184"/>
        <w:gridCol w:w="1480"/>
        <w:gridCol w:w="2294"/>
      </w:tblGrid>
      <w:tr>
        <w:trPr>
          <w:tblHeader w:val="on"/>
        </w:trPr>
        <w:tc>
          <w:tcPr/>
          <w:p>
            <w:pPr>
              <w:pStyle w:val="Compact"/>
            </w:pPr>
            <w:r>
              <w:t xml:space="preserve">Member State</w:t>
            </w:r>
          </w:p>
        </w:tc>
        <w:tc>
          <w:tcPr/>
          <w:p>
            <w:pPr>
              <w:pStyle w:val="Compact"/>
            </w:pPr>
            <w:r>
              <w:t xml:space="preserve">Total</w:t>
            </w:r>
          </w:p>
        </w:tc>
        <w:tc>
          <w:tcPr/>
          <w:p>
            <w:pPr>
              <w:pStyle w:val="Compact"/>
            </w:pPr>
            <w:r>
              <w:t xml:space="preserve">Not Mapped</w:t>
            </w:r>
          </w:p>
        </w:tc>
        <w:tc>
          <w:tcPr/>
          <w:p>
            <w:pPr>
              <w:pStyle w:val="Compact"/>
            </w:pPr>
            <w:r>
              <w:t xml:space="preserve">Partly Mapped</w:t>
            </w:r>
          </w:p>
        </w:tc>
        <w:tc>
          <w:tcPr/>
          <w:p>
            <w:pPr>
              <w:pStyle w:val="Compact"/>
            </w:pPr>
            <w:r>
              <w:t xml:space="preserve">Completely Mapped</w:t>
            </w:r>
          </w:p>
        </w:tc>
        <w:tc>
          <w:tcPr/>
          <w:p>
            <w:pPr>
              <w:pStyle w:val="Compact"/>
            </w:pPr>
            <w:r>
              <w:t xml:space="preserve">% of Completely Mapped Sites</w:t>
            </w:r>
          </w:p>
        </w:tc>
      </w:tr>
      <w:tr>
        <w:tc>
          <w:tcPr/>
          <w:p>
            <w:pPr>
              <w:pStyle w:val="Compact"/>
            </w:pPr>
            <w:r>
              <w:t xml:space="preserve">Austria</w:t>
            </w:r>
          </w:p>
        </w:tc>
        <w:tc>
          <w:tcPr/>
          <w:p>
            <w:pPr>
              <w:pStyle w:val="Compact"/>
            </w:pPr>
            <w:r>
              <w:t xml:space="preserve">199</w:t>
            </w:r>
          </w:p>
        </w:tc>
        <w:tc>
          <w:tcPr/>
          <w:p>
            <w:pPr>
              <w:pStyle w:val="Compact"/>
            </w:pPr>
            <w:r>
              <w:t xml:space="preserve">141</w:t>
            </w:r>
          </w:p>
        </w:tc>
        <w:tc>
          <w:tcPr/>
          <w:p>
            <w:pPr>
              <w:pStyle w:val="Compact"/>
            </w:pPr>
            <w:r>
              <w:t xml:space="preserve">19</w:t>
            </w:r>
          </w:p>
        </w:tc>
        <w:tc>
          <w:tcPr/>
          <w:p>
            <w:pPr>
              <w:pStyle w:val="Compact"/>
            </w:pPr>
            <w:r>
              <w:t xml:space="preserve">39</w:t>
            </w:r>
          </w:p>
        </w:tc>
        <w:tc>
          <w:tcPr/>
          <w:p>
            <w:pPr>
              <w:pStyle w:val="Compact"/>
            </w:pPr>
            <w:r>
              <w:t xml:space="preserve">19,60%</w:t>
            </w:r>
          </w:p>
        </w:tc>
      </w:tr>
      <w:tr>
        <w:tc>
          <w:tcPr/>
          <w:p>
            <w:pPr>
              <w:pStyle w:val="Compact"/>
            </w:pPr>
            <w:r>
              <w:t xml:space="preserve">Belgium</w:t>
            </w:r>
          </w:p>
        </w:tc>
        <w:tc>
          <w:tcPr/>
          <w:p>
            <w:pPr>
              <w:pStyle w:val="Compact"/>
            </w:pPr>
            <w:r>
              <w:t xml:space="preserve">263</w:t>
            </w:r>
          </w:p>
        </w:tc>
        <w:tc>
          <w:tcPr/>
          <w:p>
            <w:pPr>
              <w:pStyle w:val="Compact"/>
            </w:pPr>
            <w:r>
              <w:t xml:space="preserve">139</w:t>
            </w:r>
          </w:p>
        </w:tc>
        <w:tc>
          <w:tcPr/>
          <w:p>
            <w:pPr>
              <w:pStyle w:val="Compact"/>
            </w:pPr>
            <w:r>
              <w:t xml:space="preserve">75</w:t>
            </w:r>
          </w:p>
        </w:tc>
        <w:tc>
          <w:tcPr/>
          <w:p>
            <w:pPr>
              <w:pStyle w:val="Compact"/>
            </w:pPr>
            <w:r>
              <w:t xml:space="preserve">49</w:t>
            </w:r>
          </w:p>
        </w:tc>
        <w:tc>
          <w:tcPr/>
          <w:p>
            <w:pPr>
              <w:pStyle w:val="Compact"/>
            </w:pPr>
            <w:r>
              <w:t xml:space="preserve">18,63%</w:t>
            </w:r>
          </w:p>
        </w:tc>
      </w:tr>
      <w:tr>
        <w:tc>
          <w:tcPr/>
          <w:p>
            <w:pPr>
              <w:pStyle w:val="Compact"/>
            </w:pPr>
            <w:r>
              <w:t xml:space="preserve">Bulgaria</w:t>
            </w:r>
          </w:p>
        </w:tc>
        <w:tc>
          <w:tcPr/>
          <w:p>
            <w:pPr>
              <w:pStyle w:val="Compact"/>
            </w:pPr>
            <w:r>
              <w:t xml:space="preserve">177</w:t>
            </w:r>
          </w:p>
        </w:tc>
        <w:tc>
          <w:tcPr/>
          <w:p>
            <w:pPr>
              <w:pStyle w:val="Compact"/>
            </w:pPr>
            <w:r>
              <w:t xml:space="preserve">28</w:t>
            </w:r>
          </w:p>
        </w:tc>
        <w:tc>
          <w:tcPr/>
          <w:p>
            <w:pPr>
              <w:pStyle w:val="Compact"/>
            </w:pPr>
            <w:r>
              <w:t xml:space="preserve">49</w:t>
            </w:r>
          </w:p>
        </w:tc>
        <w:tc>
          <w:tcPr/>
          <w:p>
            <w:pPr>
              <w:pStyle w:val="Compact"/>
            </w:pPr>
            <w:r>
              <w:t xml:space="preserve">100</w:t>
            </w:r>
          </w:p>
        </w:tc>
        <w:tc>
          <w:tcPr/>
          <w:p>
            <w:pPr>
              <w:pStyle w:val="Compact"/>
            </w:pPr>
            <w:r>
              <w:t xml:space="preserve">56,50%</w:t>
            </w:r>
          </w:p>
        </w:tc>
      </w:tr>
      <w:tr>
        <w:tc>
          <w:tcPr/>
          <w:p>
            <w:pPr>
              <w:pStyle w:val="Compact"/>
            </w:pPr>
            <w:r>
              <w:t xml:space="preserve">Croatia</w:t>
            </w:r>
          </w:p>
        </w:tc>
        <w:tc>
          <w:tcPr/>
          <w:p>
            <w:pPr>
              <w:pStyle w:val="Compact"/>
            </w:pPr>
            <w:r>
              <w:t xml:space="preserve">138</w:t>
            </w:r>
          </w:p>
        </w:tc>
        <w:tc>
          <w:tcPr/>
          <w:p>
            <w:pPr>
              <w:pStyle w:val="Compact"/>
            </w:pPr>
            <w:r>
              <w:t xml:space="preserve">41</w:t>
            </w:r>
          </w:p>
        </w:tc>
        <w:tc>
          <w:tcPr/>
          <w:p>
            <w:pPr>
              <w:pStyle w:val="Compact"/>
            </w:pPr>
            <w:r>
              <w:t xml:space="preserve">17</w:t>
            </w:r>
          </w:p>
        </w:tc>
        <w:tc>
          <w:tcPr/>
          <w:p>
            <w:pPr>
              <w:pStyle w:val="Compact"/>
            </w:pPr>
            <w:r>
              <w:t xml:space="preserve">80</w:t>
            </w:r>
          </w:p>
        </w:tc>
        <w:tc>
          <w:tcPr/>
          <w:p>
            <w:pPr>
              <w:pStyle w:val="Compact"/>
            </w:pPr>
            <w:r>
              <w:t xml:space="preserve">57,97%</w:t>
            </w:r>
          </w:p>
        </w:tc>
      </w:tr>
      <w:tr>
        <w:tc>
          <w:tcPr/>
          <w:p>
            <w:pPr>
              <w:pStyle w:val="Compact"/>
            </w:pPr>
            <w:r>
              <w:t xml:space="preserve">Cyprus</w:t>
            </w:r>
          </w:p>
        </w:tc>
        <w:tc>
          <w:tcPr/>
          <w:p>
            <w:pPr>
              <w:pStyle w:val="Compact"/>
            </w:pPr>
            <w:r>
              <w:t xml:space="preserve">27</w:t>
            </w:r>
          </w:p>
        </w:tc>
        <w:tc>
          <w:tcPr/>
          <w:p>
            <w:pPr>
              <w:pStyle w:val="Compact"/>
            </w:pPr>
            <w:r>
              <w:t xml:space="preserve">24</w:t>
            </w:r>
          </w:p>
        </w:tc>
        <w:tc>
          <w:tcPr/>
          <w:p>
            <w:pPr>
              <w:pStyle w:val="Compact"/>
            </w:pPr>
            <w:r>
              <w:t xml:space="preserve">0</w:t>
            </w:r>
          </w:p>
        </w:tc>
        <w:tc>
          <w:tcPr/>
          <w:p>
            <w:pPr>
              <w:pStyle w:val="Compact"/>
            </w:pPr>
            <w:r>
              <w:t xml:space="preserve">3</w:t>
            </w:r>
          </w:p>
        </w:tc>
        <w:tc>
          <w:tcPr/>
          <w:p>
            <w:pPr>
              <w:pStyle w:val="Compact"/>
            </w:pPr>
            <w:r>
              <w:t xml:space="preserve">11,11%</w:t>
            </w:r>
          </w:p>
        </w:tc>
      </w:tr>
      <w:tr>
        <w:tc>
          <w:tcPr/>
          <w:p>
            <w:pPr>
              <w:pStyle w:val="Compact"/>
            </w:pPr>
            <w:r>
              <w:t xml:space="preserve">Czech Republic</w:t>
            </w:r>
          </w:p>
        </w:tc>
        <w:tc>
          <w:tcPr/>
          <w:p>
            <w:pPr>
              <w:pStyle w:val="Compact"/>
            </w:pPr>
            <w:r>
              <w:t xml:space="preserve">303</w:t>
            </w:r>
          </w:p>
        </w:tc>
        <w:tc>
          <w:tcPr/>
          <w:p>
            <w:pPr>
              <w:pStyle w:val="Compact"/>
            </w:pPr>
            <w:r>
              <w:t xml:space="preserve">161</w:t>
            </w:r>
          </w:p>
        </w:tc>
        <w:tc>
          <w:tcPr/>
          <w:p>
            <w:pPr>
              <w:pStyle w:val="Compact"/>
            </w:pPr>
            <w:r>
              <w:t xml:space="preserve">38</w:t>
            </w:r>
          </w:p>
        </w:tc>
        <w:tc>
          <w:tcPr/>
          <w:p>
            <w:pPr>
              <w:pStyle w:val="Compact"/>
            </w:pPr>
            <w:r>
              <w:t xml:space="preserve">104</w:t>
            </w:r>
          </w:p>
        </w:tc>
        <w:tc>
          <w:tcPr/>
          <w:p>
            <w:pPr>
              <w:pStyle w:val="Compact"/>
            </w:pPr>
            <w:r>
              <w:t xml:space="preserve">34,32%</w:t>
            </w:r>
          </w:p>
        </w:tc>
      </w:tr>
      <w:tr>
        <w:tc>
          <w:tcPr/>
          <w:p>
            <w:pPr>
              <w:pStyle w:val="Compact"/>
            </w:pPr>
            <w:r>
              <w:t xml:space="preserve">Denmark</w:t>
            </w:r>
          </w:p>
        </w:tc>
        <w:tc>
          <w:tcPr/>
          <w:p>
            <w:pPr>
              <w:pStyle w:val="Compact"/>
            </w:pPr>
            <w:r>
              <w:t xml:space="preserve">175</w:t>
            </w:r>
          </w:p>
        </w:tc>
        <w:tc>
          <w:tcPr/>
          <w:p>
            <w:pPr>
              <w:pStyle w:val="Compact"/>
            </w:pPr>
            <w:r>
              <w:t xml:space="preserve">132</w:t>
            </w:r>
          </w:p>
        </w:tc>
        <w:tc>
          <w:tcPr/>
          <w:p>
            <w:pPr>
              <w:pStyle w:val="Compact"/>
            </w:pPr>
            <w:r>
              <w:t xml:space="preserve">29</w:t>
            </w:r>
          </w:p>
        </w:tc>
        <w:tc>
          <w:tcPr/>
          <w:p>
            <w:pPr>
              <w:pStyle w:val="Compact"/>
            </w:pPr>
            <w:r>
              <w:t xml:space="preserve">14</w:t>
            </w:r>
          </w:p>
        </w:tc>
        <w:tc>
          <w:tcPr/>
          <w:p>
            <w:pPr>
              <w:pStyle w:val="Compact"/>
            </w:pPr>
            <w:r>
              <w:t xml:space="preserve">8,00%</w:t>
            </w:r>
          </w:p>
        </w:tc>
      </w:tr>
      <w:tr>
        <w:tc>
          <w:tcPr/>
          <w:p>
            <w:pPr>
              <w:pStyle w:val="Compact"/>
            </w:pPr>
            <w:r>
              <w:t xml:space="preserve">Estonia</w:t>
            </w:r>
          </w:p>
        </w:tc>
        <w:tc>
          <w:tcPr/>
          <w:p>
            <w:pPr>
              <w:pStyle w:val="Compact"/>
            </w:pPr>
            <w:r>
              <w:t xml:space="preserve">243</w:t>
            </w:r>
          </w:p>
        </w:tc>
        <w:tc>
          <w:tcPr/>
          <w:p>
            <w:pPr>
              <w:pStyle w:val="Compact"/>
            </w:pPr>
            <w:r>
              <w:t xml:space="preserve">85</w:t>
            </w:r>
          </w:p>
        </w:tc>
        <w:tc>
          <w:tcPr/>
          <w:p>
            <w:pPr>
              <w:pStyle w:val="Compact"/>
            </w:pPr>
            <w:r>
              <w:t xml:space="preserve">54</w:t>
            </w:r>
          </w:p>
        </w:tc>
        <w:tc>
          <w:tcPr/>
          <w:p>
            <w:pPr>
              <w:pStyle w:val="Compact"/>
            </w:pPr>
            <w:r>
              <w:t xml:space="preserve">104</w:t>
            </w:r>
          </w:p>
        </w:tc>
        <w:tc>
          <w:tcPr/>
          <w:p>
            <w:pPr>
              <w:pStyle w:val="Compact"/>
            </w:pPr>
            <w:r>
              <w:t xml:space="preserve">42,80%</w:t>
            </w:r>
          </w:p>
        </w:tc>
      </w:tr>
      <w:tr>
        <w:tc>
          <w:tcPr/>
          <w:p>
            <w:pPr>
              <w:pStyle w:val="Compact"/>
            </w:pPr>
            <w:r>
              <w:t xml:space="preserve">Finland</w:t>
            </w:r>
          </w:p>
        </w:tc>
        <w:tc>
          <w:tcPr/>
          <w:p>
            <w:pPr>
              <w:pStyle w:val="Compact"/>
            </w:pPr>
            <w:r>
              <w:t xml:space="preserve">271</w:t>
            </w:r>
          </w:p>
        </w:tc>
        <w:tc>
          <w:tcPr/>
          <w:p>
            <w:pPr>
              <w:pStyle w:val="Compact"/>
            </w:pPr>
            <w:r>
              <w:t xml:space="preserve">256</w:t>
            </w:r>
          </w:p>
        </w:tc>
        <w:tc>
          <w:tcPr/>
          <w:p>
            <w:pPr>
              <w:pStyle w:val="Compact"/>
            </w:pPr>
            <w:r>
              <w:t xml:space="preserve">10</w:t>
            </w:r>
          </w:p>
        </w:tc>
        <w:tc>
          <w:tcPr/>
          <w:p>
            <w:pPr>
              <w:pStyle w:val="Compact"/>
            </w:pPr>
            <w:r>
              <w:t xml:space="preserve">5</w:t>
            </w:r>
          </w:p>
        </w:tc>
        <w:tc>
          <w:tcPr/>
          <w:p>
            <w:pPr>
              <w:pStyle w:val="Compact"/>
            </w:pPr>
            <w:r>
              <w:t xml:space="preserve">1,85%</w:t>
            </w:r>
          </w:p>
        </w:tc>
      </w:tr>
      <w:tr>
        <w:tc>
          <w:tcPr/>
          <w:p>
            <w:pPr>
              <w:pStyle w:val="Compact"/>
            </w:pPr>
            <w:r>
              <w:t xml:space="preserve">France</w:t>
            </w:r>
          </w:p>
        </w:tc>
        <w:tc>
          <w:tcPr/>
          <w:p>
            <w:pPr>
              <w:pStyle w:val="Compact"/>
            </w:pPr>
            <w:r>
              <w:t xml:space="preserve">1103</w:t>
            </w:r>
          </w:p>
        </w:tc>
        <w:tc>
          <w:tcPr/>
          <w:p>
            <w:pPr>
              <w:pStyle w:val="Compact"/>
            </w:pPr>
            <w:r>
              <w:t xml:space="preserve">557</w:t>
            </w:r>
          </w:p>
        </w:tc>
        <w:tc>
          <w:tcPr/>
          <w:p>
            <w:pPr>
              <w:pStyle w:val="Compact"/>
            </w:pPr>
            <w:r>
              <w:t xml:space="preserve">219</w:t>
            </w:r>
          </w:p>
        </w:tc>
        <w:tc>
          <w:tcPr/>
          <w:p>
            <w:pPr>
              <w:pStyle w:val="Compact"/>
            </w:pPr>
            <w:r>
              <w:t xml:space="preserve">327</w:t>
            </w:r>
          </w:p>
        </w:tc>
        <w:tc>
          <w:tcPr/>
          <w:p>
            <w:pPr>
              <w:pStyle w:val="Compact"/>
            </w:pPr>
            <w:r>
              <w:t xml:space="preserve">29,65%</w:t>
            </w:r>
          </w:p>
        </w:tc>
      </w:tr>
      <w:tr>
        <w:tc>
          <w:tcPr/>
          <w:p>
            <w:pPr>
              <w:pStyle w:val="Compact"/>
            </w:pPr>
            <w:r>
              <w:t xml:space="preserve">Germany</w:t>
            </w:r>
          </w:p>
        </w:tc>
        <w:tc>
          <w:tcPr/>
          <w:p>
            <w:pPr>
              <w:pStyle w:val="Compact"/>
            </w:pPr>
            <w:r>
              <w:t xml:space="preserve">3001</w:t>
            </w:r>
          </w:p>
        </w:tc>
        <w:tc>
          <w:tcPr/>
          <w:p>
            <w:pPr>
              <w:pStyle w:val="Compact"/>
            </w:pPr>
            <w:r>
              <w:t xml:space="preserve">1761</w:t>
            </w:r>
          </w:p>
        </w:tc>
        <w:tc>
          <w:tcPr/>
          <w:p>
            <w:pPr>
              <w:pStyle w:val="Compact"/>
            </w:pPr>
            <w:r>
              <w:t xml:space="preserve">602</w:t>
            </w:r>
          </w:p>
        </w:tc>
        <w:tc>
          <w:tcPr/>
          <w:p>
            <w:pPr>
              <w:pStyle w:val="Compact"/>
            </w:pPr>
            <w:r>
              <w:t xml:space="preserve">638</w:t>
            </w:r>
          </w:p>
        </w:tc>
        <w:tc>
          <w:tcPr/>
          <w:p>
            <w:pPr>
              <w:pStyle w:val="Compact"/>
            </w:pPr>
            <w:r>
              <w:t xml:space="preserve">21,26%</w:t>
            </w:r>
          </w:p>
        </w:tc>
      </w:tr>
      <w:tr>
        <w:tc>
          <w:tcPr/>
          <w:p>
            <w:pPr>
              <w:pStyle w:val="Compact"/>
            </w:pPr>
            <w:r>
              <w:t xml:space="preserve">Greece</w:t>
            </w:r>
          </w:p>
        </w:tc>
        <w:tc>
          <w:tcPr/>
          <w:p>
            <w:pPr>
              <w:pStyle w:val="Compact"/>
            </w:pPr>
            <w:r>
              <w:t xml:space="preserve">120</w:t>
            </w:r>
          </w:p>
        </w:tc>
        <w:tc>
          <w:tcPr/>
          <w:p>
            <w:pPr>
              <w:pStyle w:val="Compact"/>
            </w:pPr>
            <w:r>
              <w:t xml:space="preserve">72</w:t>
            </w:r>
          </w:p>
        </w:tc>
        <w:tc>
          <w:tcPr/>
          <w:p>
            <w:pPr>
              <w:pStyle w:val="Compact"/>
            </w:pPr>
            <w:r>
              <w:t xml:space="preserve">20</w:t>
            </w:r>
          </w:p>
        </w:tc>
        <w:tc>
          <w:tcPr/>
          <w:p>
            <w:pPr>
              <w:pStyle w:val="Compact"/>
            </w:pPr>
            <w:r>
              <w:t xml:space="preserve">28</w:t>
            </w:r>
          </w:p>
        </w:tc>
        <w:tc>
          <w:tcPr/>
          <w:p>
            <w:pPr>
              <w:pStyle w:val="Compact"/>
            </w:pPr>
            <w:r>
              <w:t xml:space="preserve">23,33%</w:t>
            </w:r>
          </w:p>
        </w:tc>
      </w:tr>
      <w:tr>
        <w:tc>
          <w:tcPr/>
          <w:p>
            <w:pPr>
              <w:pStyle w:val="Compact"/>
            </w:pPr>
            <w:r>
              <w:t xml:space="preserve">Hungary</w:t>
            </w:r>
          </w:p>
        </w:tc>
        <w:tc>
          <w:tcPr/>
          <w:p>
            <w:pPr>
              <w:pStyle w:val="Compact"/>
            </w:pPr>
            <w:r>
              <w:t xml:space="preserve">410</w:t>
            </w:r>
          </w:p>
        </w:tc>
        <w:tc>
          <w:tcPr/>
          <w:p>
            <w:pPr>
              <w:pStyle w:val="Compact"/>
            </w:pPr>
            <w:r>
              <w:t xml:space="preserve">110</w:t>
            </w:r>
          </w:p>
        </w:tc>
        <w:tc>
          <w:tcPr/>
          <w:p>
            <w:pPr>
              <w:pStyle w:val="Compact"/>
            </w:pPr>
            <w:r>
              <w:t xml:space="preserve">76</w:t>
            </w:r>
          </w:p>
        </w:tc>
        <w:tc>
          <w:tcPr/>
          <w:p>
            <w:pPr>
              <w:pStyle w:val="Compact"/>
            </w:pPr>
            <w:r>
              <w:t xml:space="preserve">224</w:t>
            </w:r>
          </w:p>
        </w:tc>
        <w:tc>
          <w:tcPr/>
          <w:p>
            <w:pPr>
              <w:pStyle w:val="Compact"/>
            </w:pPr>
            <w:r>
              <w:t xml:space="preserve">54,63%</w:t>
            </w:r>
          </w:p>
        </w:tc>
      </w:tr>
      <w:tr>
        <w:tc>
          <w:tcPr/>
          <w:p>
            <w:pPr>
              <w:pStyle w:val="Compact"/>
            </w:pPr>
            <w:r>
              <w:t xml:space="preserve">Ireland</w:t>
            </w:r>
          </w:p>
        </w:tc>
        <w:tc>
          <w:tcPr/>
          <w:p>
            <w:pPr>
              <w:pStyle w:val="Compact"/>
            </w:pPr>
            <w:r>
              <w:t xml:space="preserve">74</w:t>
            </w:r>
          </w:p>
        </w:tc>
        <w:tc>
          <w:tcPr/>
          <w:p>
            <w:pPr>
              <w:pStyle w:val="Compact"/>
            </w:pPr>
            <w:r>
              <w:t xml:space="preserve">68</w:t>
            </w:r>
          </w:p>
        </w:tc>
        <w:tc>
          <w:tcPr/>
          <w:p>
            <w:pPr>
              <w:pStyle w:val="Compact"/>
            </w:pPr>
            <w:r>
              <w:t xml:space="preserve">1</w:t>
            </w:r>
          </w:p>
        </w:tc>
        <w:tc>
          <w:tcPr/>
          <w:p>
            <w:pPr>
              <w:pStyle w:val="Compact"/>
            </w:pPr>
            <w:r>
              <w:t xml:space="preserve">5</w:t>
            </w:r>
          </w:p>
        </w:tc>
        <w:tc>
          <w:tcPr/>
          <w:p>
            <w:pPr>
              <w:pStyle w:val="Compact"/>
            </w:pPr>
            <w:r>
              <w:t xml:space="preserve">6,76%</w:t>
            </w:r>
          </w:p>
        </w:tc>
      </w:tr>
      <w:tr>
        <w:tc>
          <w:tcPr/>
          <w:p>
            <w:pPr>
              <w:pStyle w:val="Compact"/>
            </w:pPr>
            <w:r>
              <w:t xml:space="preserve">Italy</w:t>
            </w:r>
          </w:p>
        </w:tc>
        <w:tc>
          <w:tcPr/>
          <w:p>
            <w:pPr>
              <w:pStyle w:val="Compact"/>
            </w:pPr>
            <w:r>
              <w:t xml:space="preserve">1932</w:t>
            </w:r>
          </w:p>
        </w:tc>
        <w:tc>
          <w:tcPr/>
          <w:p>
            <w:pPr>
              <w:pStyle w:val="Compact"/>
            </w:pPr>
            <w:r>
              <w:t xml:space="preserve">638</w:t>
            </w:r>
          </w:p>
        </w:tc>
        <w:tc>
          <w:tcPr/>
          <w:p>
            <w:pPr>
              <w:pStyle w:val="Compact"/>
            </w:pPr>
            <w:r>
              <w:t xml:space="preserve">343</w:t>
            </w:r>
          </w:p>
        </w:tc>
        <w:tc>
          <w:tcPr/>
          <w:p>
            <w:pPr>
              <w:pStyle w:val="Compact"/>
            </w:pPr>
            <w:r>
              <w:t xml:space="preserve">951</w:t>
            </w:r>
          </w:p>
        </w:tc>
        <w:tc>
          <w:tcPr/>
          <w:p>
            <w:pPr>
              <w:pStyle w:val="Compact"/>
            </w:pPr>
            <w:r>
              <w:t xml:space="preserve">49,22%</w:t>
            </w:r>
          </w:p>
        </w:tc>
      </w:tr>
      <w:tr>
        <w:tc>
          <w:tcPr/>
          <w:p>
            <w:pPr>
              <w:pStyle w:val="Compact"/>
            </w:pPr>
            <w:r>
              <w:t xml:space="preserve">Latvia</w:t>
            </w:r>
          </w:p>
        </w:tc>
        <w:tc>
          <w:tcPr/>
          <w:p>
            <w:pPr>
              <w:pStyle w:val="Compact"/>
            </w:pPr>
            <w:r>
              <w:t xml:space="preserve">130</w:t>
            </w:r>
          </w:p>
        </w:tc>
        <w:tc>
          <w:tcPr/>
          <w:p>
            <w:pPr>
              <w:pStyle w:val="Compact"/>
            </w:pPr>
            <w:r>
              <w:t xml:space="preserve">99</w:t>
            </w:r>
          </w:p>
        </w:tc>
        <w:tc>
          <w:tcPr/>
          <w:p>
            <w:pPr>
              <w:pStyle w:val="Compact"/>
            </w:pPr>
            <w:r>
              <w:t xml:space="preserve">7</w:t>
            </w:r>
          </w:p>
        </w:tc>
        <w:tc>
          <w:tcPr/>
          <w:p>
            <w:pPr>
              <w:pStyle w:val="Compact"/>
            </w:pPr>
            <w:r>
              <w:t xml:space="preserve">24</w:t>
            </w:r>
          </w:p>
        </w:tc>
        <w:tc>
          <w:tcPr/>
          <w:p>
            <w:pPr>
              <w:pStyle w:val="Compact"/>
            </w:pPr>
            <w:r>
              <w:t xml:space="preserve">18,46%</w:t>
            </w:r>
          </w:p>
        </w:tc>
      </w:tr>
      <w:tr>
        <w:tc>
          <w:tcPr/>
          <w:p>
            <w:pPr>
              <w:pStyle w:val="Compact"/>
            </w:pPr>
            <w:r>
              <w:t xml:space="preserve">Lithuania</w:t>
            </w:r>
          </w:p>
        </w:tc>
        <w:tc>
          <w:tcPr/>
          <w:p>
            <w:pPr>
              <w:pStyle w:val="Compact"/>
            </w:pPr>
            <w:r>
              <w:t xml:space="preserve">179</w:t>
            </w:r>
          </w:p>
        </w:tc>
        <w:tc>
          <w:tcPr/>
          <w:p>
            <w:pPr>
              <w:pStyle w:val="Compact"/>
            </w:pPr>
            <w:r>
              <w:t xml:space="preserve">112</w:t>
            </w:r>
          </w:p>
        </w:tc>
        <w:tc>
          <w:tcPr/>
          <w:p>
            <w:pPr>
              <w:pStyle w:val="Compact"/>
            </w:pPr>
            <w:r>
              <w:t xml:space="preserve">15</w:t>
            </w:r>
          </w:p>
        </w:tc>
        <w:tc>
          <w:tcPr/>
          <w:p>
            <w:pPr>
              <w:pStyle w:val="Compact"/>
            </w:pPr>
            <w:r>
              <w:t xml:space="preserve">52</w:t>
            </w:r>
          </w:p>
        </w:tc>
        <w:tc>
          <w:tcPr/>
          <w:p>
            <w:pPr>
              <w:pStyle w:val="Compact"/>
            </w:pPr>
            <w:r>
              <w:t xml:space="preserve">29,05%</w:t>
            </w:r>
          </w:p>
        </w:tc>
      </w:tr>
      <w:tr>
        <w:tc>
          <w:tcPr/>
          <w:p>
            <w:pPr>
              <w:pStyle w:val="Compact"/>
            </w:pPr>
            <w:r>
              <w:t xml:space="preserve">Luxembourg</w:t>
            </w:r>
          </w:p>
        </w:tc>
        <w:tc>
          <w:tcPr/>
          <w:p>
            <w:pPr>
              <w:pStyle w:val="Compact"/>
            </w:pPr>
            <w:r>
              <w:t xml:space="preserve">48</w:t>
            </w:r>
          </w:p>
        </w:tc>
        <w:tc>
          <w:tcPr/>
          <w:p>
            <w:pPr>
              <w:pStyle w:val="Compact"/>
            </w:pPr>
            <w:r>
              <w:t xml:space="preserve">16</w:t>
            </w:r>
          </w:p>
        </w:tc>
        <w:tc>
          <w:tcPr/>
          <w:p>
            <w:pPr>
              <w:pStyle w:val="Compact"/>
            </w:pPr>
            <w:r>
              <w:t xml:space="preserve">14</w:t>
            </w:r>
          </w:p>
        </w:tc>
        <w:tc>
          <w:tcPr/>
          <w:p>
            <w:pPr>
              <w:pStyle w:val="Compact"/>
            </w:pPr>
            <w:r>
              <w:t xml:space="preserve">18</w:t>
            </w:r>
          </w:p>
        </w:tc>
        <w:tc>
          <w:tcPr/>
          <w:p>
            <w:pPr>
              <w:pStyle w:val="Compact"/>
            </w:pPr>
            <w:r>
              <w:t xml:space="preserve">37,50%</w:t>
            </w:r>
          </w:p>
        </w:tc>
      </w:tr>
      <w:tr>
        <w:tc>
          <w:tcPr/>
          <w:p>
            <w:pPr>
              <w:pStyle w:val="Compact"/>
            </w:pPr>
            <w:r>
              <w:t xml:space="preserve">Malta</w:t>
            </w:r>
          </w:p>
        </w:tc>
        <w:tc>
          <w:tcPr/>
          <w:p>
            <w:pPr>
              <w:pStyle w:val="Compact"/>
            </w:pPr>
            <w:r>
              <w:t xml:space="preserve">5</w:t>
            </w:r>
          </w:p>
        </w:tc>
        <w:tc>
          <w:tcPr/>
          <w:p>
            <w:pPr>
              <w:pStyle w:val="Compact"/>
            </w:pPr>
            <w:r>
              <w:t xml:space="preserve">1</w:t>
            </w:r>
          </w:p>
        </w:tc>
        <w:tc>
          <w:tcPr/>
          <w:p>
            <w:pPr>
              <w:pStyle w:val="Compact"/>
            </w:pPr>
            <w:r>
              <w:t xml:space="preserve">4</w:t>
            </w:r>
          </w:p>
        </w:tc>
        <w:tc>
          <w:tcPr/>
          <w:p>
            <w:pPr>
              <w:pStyle w:val="Compact"/>
            </w:pPr>
            <w:r>
              <w:t xml:space="preserve">0</w:t>
            </w:r>
          </w:p>
        </w:tc>
        <w:tc>
          <w:tcPr/>
          <w:p>
            <w:pPr>
              <w:pStyle w:val="Compact"/>
            </w:pPr>
            <w:r>
              <w:t xml:space="preserve">0,00%²</w:t>
            </w:r>
          </w:p>
        </w:tc>
      </w:tr>
      <w:tr>
        <w:tc>
          <w:tcPr/>
          <w:p>
            <w:pPr>
              <w:pStyle w:val="Compact"/>
            </w:pPr>
            <w:r>
              <w:t xml:space="preserve">Netherlands</w:t>
            </w:r>
          </w:p>
        </w:tc>
        <w:tc>
          <w:tcPr/>
          <w:p>
            <w:pPr>
              <w:pStyle w:val="Compact"/>
            </w:pPr>
            <w:r>
              <w:t xml:space="preserve">100</w:t>
            </w:r>
          </w:p>
        </w:tc>
        <w:tc>
          <w:tcPr/>
          <w:p>
            <w:pPr>
              <w:pStyle w:val="Compact"/>
            </w:pPr>
            <w:r>
              <w:t xml:space="preserve">79</w:t>
            </w:r>
          </w:p>
        </w:tc>
        <w:tc>
          <w:tcPr/>
          <w:p>
            <w:pPr>
              <w:pStyle w:val="Compact"/>
            </w:pPr>
            <w:r>
              <w:t xml:space="preserve">14</w:t>
            </w:r>
          </w:p>
        </w:tc>
        <w:tc>
          <w:tcPr/>
          <w:p>
            <w:pPr>
              <w:pStyle w:val="Compact"/>
            </w:pPr>
            <w:r>
              <w:t xml:space="preserve">7</w:t>
            </w:r>
          </w:p>
        </w:tc>
        <w:tc>
          <w:tcPr/>
          <w:p>
            <w:pPr>
              <w:pStyle w:val="Compact"/>
            </w:pPr>
            <w:r>
              <w:t xml:space="preserve">7,00%</w:t>
            </w:r>
          </w:p>
        </w:tc>
      </w:tr>
      <w:tr>
        <w:tc>
          <w:tcPr/>
          <w:p>
            <w:pPr>
              <w:pStyle w:val="Compact"/>
            </w:pPr>
            <w:r>
              <w:t xml:space="preserve">Poland</w:t>
            </w:r>
          </w:p>
        </w:tc>
        <w:tc>
          <w:tcPr/>
          <w:p>
            <w:pPr>
              <w:pStyle w:val="Compact"/>
            </w:pPr>
            <w:r>
              <w:t xml:space="preserve">522</w:t>
            </w:r>
          </w:p>
        </w:tc>
        <w:tc>
          <w:tcPr/>
          <w:p>
            <w:pPr>
              <w:pStyle w:val="Compact"/>
            </w:pPr>
            <w:r>
              <w:t xml:space="preserve">237</w:t>
            </w:r>
          </w:p>
        </w:tc>
        <w:tc>
          <w:tcPr/>
          <w:p>
            <w:pPr>
              <w:pStyle w:val="Compact"/>
            </w:pPr>
            <w:r>
              <w:t xml:space="preserve">74</w:t>
            </w:r>
          </w:p>
        </w:tc>
        <w:tc>
          <w:tcPr/>
          <w:p>
            <w:pPr>
              <w:pStyle w:val="Compact"/>
            </w:pPr>
            <w:r>
              <w:t xml:space="preserve">211</w:t>
            </w:r>
          </w:p>
        </w:tc>
        <w:tc>
          <w:tcPr/>
          <w:p>
            <w:pPr>
              <w:pStyle w:val="Compact"/>
            </w:pPr>
            <w:r>
              <w:t xml:space="preserve">40,42%</w:t>
            </w:r>
          </w:p>
        </w:tc>
      </w:tr>
      <w:tr>
        <w:tc>
          <w:tcPr/>
          <w:p>
            <w:pPr>
              <w:pStyle w:val="Compact"/>
            </w:pPr>
            <w:r>
              <w:t xml:space="preserve">Portugal</w:t>
            </w:r>
          </w:p>
        </w:tc>
        <w:tc>
          <w:tcPr/>
          <w:p>
            <w:pPr>
              <w:pStyle w:val="Compact"/>
            </w:pPr>
            <w:r>
              <w:t xml:space="preserve">83</w:t>
            </w:r>
          </w:p>
        </w:tc>
        <w:tc>
          <w:tcPr/>
          <w:p>
            <w:pPr>
              <w:pStyle w:val="Compact"/>
            </w:pPr>
            <w:r>
              <w:t xml:space="preserve">49</w:t>
            </w:r>
          </w:p>
        </w:tc>
        <w:tc>
          <w:tcPr/>
          <w:p>
            <w:pPr>
              <w:pStyle w:val="Compact"/>
            </w:pPr>
            <w:r>
              <w:t xml:space="preserve">12</w:t>
            </w:r>
          </w:p>
        </w:tc>
        <w:tc>
          <w:tcPr/>
          <w:p>
            <w:pPr>
              <w:pStyle w:val="Compact"/>
            </w:pPr>
            <w:r>
              <w:t xml:space="preserve">22</w:t>
            </w:r>
          </w:p>
        </w:tc>
        <w:tc>
          <w:tcPr/>
          <w:p>
            <w:pPr>
              <w:pStyle w:val="Compact"/>
            </w:pPr>
            <w:r>
              <w:t xml:space="preserve">26,51%</w:t>
            </w:r>
          </w:p>
        </w:tc>
      </w:tr>
      <w:tr>
        <w:tc>
          <w:tcPr/>
          <w:p>
            <w:pPr>
              <w:pStyle w:val="Compact"/>
            </w:pPr>
            <w:r>
              <w:t xml:space="preserve">Romania</w:t>
            </w:r>
          </w:p>
        </w:tc>
        <w:tc>
          <w:tcPr/>
          <w:p>
            <w:pPr>
              <w:pStyle w:val="Compact"/>
            </w:pPr>
            <w:r>
              <w:t xml:space="preserve">197</w:t>
            </w:r>
          </w:p>
        </w:tc>
        <w:tc>
          <w:tcPr/>
          <w:p>
            <w:pPr>
              <w:pStyle w:val="Compact"/>
            </w:pPr>
            <w:r>
              <w:t xml:space="preserve">77</w:t>
            </w:r>
          </w:p>
        </w:tc>
        <w:tc>
          <w:tcPr/>
          <w:p>
            <w:pPr>
              <w:pStyle w:val="Compact"/>
            </w:pPr>
            <w:r>
              <w:t xml:space="preserve">44</w:t>
            </w:r>
          </w:p>
        </w:tc>
        <w:tc>
          <w:tcPr/>
          <w:p>
            <w:pPr>
              <w:pStyle w:val="Compact"/>
            </w:pPr>
            <w:r>
              <w:t xml:space="preserve">76</w:t>
            </w:r>
          </w:p>
        </w:tc>
        <w:tc>
          <w:tcPr/>
          <w:p>
            <w:pPr>
              <w:pStyle w:val="Compact"/>
            </w:pPr>
            <w:r>
              <w:t xml:space="preserve">38,58%</w:t>
            </w:r>
          </w:p>
        </w:tc>
      </w:tr>
      <w:tr>
        <w:tc>
          <w:tcPr/>
          <w:p>
            <w:pPr>
              <w:pStyle w:val="Compact"/>
            </w:pPr>
            <w:r>
              <w:t xml:space="preserve">Slovakia</w:t>
            </w:r>
          </w:p>
        </w:tc>
        <w:tc>
          <w:tcPr/>
          <w:p>
            <w:pPr>
              <w:pStyle w:val="Compact"/>
            </w:pPr>
            <w:r>
              <w:t xml:space="preserve">437</w:t>
            </w:r>
          </w:p>
        </w:tc>
        <w:tc>
          <w:tcPr/>
          <w:p>
            <w:pPr>
              <w:pStyle w:val="Compact"/>
            </w:pPr>
            <w:r>
              <w:t xml:space="preserve">219</w:t>
            </w:r>
          </w:p>
        </w:tc>
        <w:tc>
          <w:tcPr/>
          <w:p>
            <w:pPr>
              <w:pStyle w:val="Compact"/>
            </w:pPr>
            <w:r>
              <w:t xml:space="preserve">84</w:t>
            </w:r>
          </w:p>
        </w:tc>
        <w:tc>
          <w:tcPr/>
          <w:p>
            <w:pPr>
              <w:pStyle w:val="Compact"/>
            </w:pPr>
            <w:r>
              <w:t xml:space="preserve">134</w:t>
            </w:r>
          </w:p>
        </w:tc>
        <w:tc>
          <w:tcPr/>
          <w:p>
            <w:pPr>
              <w:pStyle w:val="Compact"/>
            </w:pPr>
            <w:r>
              <w:t xml:space="preserve">30,66%</w:t>
            </w:r>
          </w:p>
        </w:tc>
      </w:tr>
      <w:tr>
        <w:tc>
          <w:tcPr/>
          <w:p>
            <w:pPr>
              <w:pStyle w:val="Compact"/>
            </w:pPr>
            <w:r>
              <w:t xml:space="preserve">Slovenia</w:t>
            </w:r>
          </w:p>
        </w:tc>
        <w:tc>
          <w:tcPr/>
          <w:p>
            <w:pPr>
              <w:pStyle w:val="Compact"/>
            </w:pPr>
            <w:r>
              <w:t xml:space="preserve">67</w:t>
            </w:r>
          </w:p>
        </w:tc>
        <w:tc>
          <w:tcPr/>
          <w:p>
            <w:pPr>
              <w:pStyle w:val="Compact"/>
            </w:pPr>
            <w:r>
              <w:t xml:space="preserve">7</w:t>
            </w:r>
          </w:p>
        </w:tc>
        <w:tc>
          <w:tcPr/>
          <w:p>
            <w:pPr>
              <w:pStyle w:val="Compact"/>
            </w:pPr>
            <w:r>
              <w:t xml:space="preserve">12</w:t>
            </w:r>
          </w:p>
        </w:tc>
        <w:tc>
          <w:tcPr/>
          <w:p>
            <w:pPr>
              <w:pStyle w:val="Compact"/>
            </w:pPr>
            <w:r>
              <w:t xml:space="preserve">48</w:t>
            </w:r>
          </w:p>
        </w:tc>
        <w:tc>
          <w:tcPr/>
          <w:p>
            <w:pPr>
              <w:pStyle w:val="Compact"/>
            </w:pPr>
            <w:r>
              <w:t xml:space="preserve">71,64%</w:t>
            </w:r>
          </w:p>
        </w:tc>
      </w:tr>
      <w:tr>
        <w:tc>
          <w:tcPr/>
          <w:p>
            <w:pPr>
              <w:pStyle w:val="Compact"/>
            </w:pPr>
            <w:r>
              <w:t xml:space="preserve">Spain</w:t>
            </w:r>
          </w:p>
        </w:tc>
        <w:tc>
          <w:tcPr/>
          <w:p>
            <w:pPr>
              <w:pStyle w:val="Compact"/>
            </w:pPr>
            <w:r>
              <w:t xml:space="preserve">1152</w:t>
            </w:r>
          </w:p>
        </w:tc>
        <w:tc>
          <w:tcPr/>
          <w:p>
            <w:pPr>
              <w:pStyle w:val="Compact"/>
            </w:pPr>
            <w:r>
              <w:t xml:space="preserve">346</w:t>
            </w:r>
          </w:p>
        </w:tc>
        <w:tc>
          <w:tcPr/>
          <w:p>
            <w:pPr>
              <w:pStyle w:val="Compact"/>
            </w:pPr>
            <w:r>
              <w:t xml:space="preserve">316</w:t>
            </w:r>
          </w:p>
        </w:tc>
        <w:tc>
          <w:tcPr/>
          <w:p>
            <w:pPr>
              <w:pStyle w:val="Compact"/>
            </w:pPr>
            <w:r>
              <w:t xml:space="preserve">490</w:t>
            </w:r>
          </w:p>
        </w:tc>
        <w:tc>
          <w:tcPr/>
          <w:p>
            <w:pPr>
              <w:pStyle w:val="Compact"/>
            </w:pPr>
            <w:r>
              <w:t xml:space="preserve">42,53%</w:t>
            </w:r>
          </w:p>
        </w:tc>
      </w:tr>
      <w:tr>
        <w:tc>
          <w:tcPr/>
          <w:p>
            <w:pPr>
              <w:pStyle w:val="Compact"/>
            </w:pPr>
            <w:r>
              <w:t xml:space="preserve">Sweden</w:t>
            </w:r>
          </w:p>
        </w:tc>
        <w:tc>
          <w:tcPr/>
          <w:p>
            <w:pPr>
              <w:pStyle w:val="Compact"/>
            </w:pPr>
            <w:r>
              <w:t xml:space="preserve">1480</w:t>
            </w:r>
          </w:p>
        </w:tc>
        <w:tc>
          <w:tcPr/>
          <w:p>
            <w:pPr>
              <w:pStyle w:val="Compact"/>
            </w:pPr>
            <w:r>
              <w:t xml:space="preserve">1101</w:t>
            </w:r>
          </w:p>
        </w:tc>
        <w:tc>
          <w:tcPr/>
          <w:p>
            <w:pPr>
              <w:pStyle w:val="Compact"/>
            </w:pPr>
            <w:r>
              <w:t xml:space="preserve">79</w:t>
            </w:r>
          </w:p>
        </w:tc>
        <w:tc>
          <w:tcPr/>
          <w:p>
            <w:pPr>
              <w:pStyle w:val="Compact"/>
            </w:pPr>
            <w:r>
              <w:t xml:space="preserve">300</w:t>
            </w:r>
          </w:p>
        </w:tc>
        <w:tc>
          <w:tcPr/>
          <w:p>
            <w:pPr>
              <w:pStyle w:val="Compact"/>
            </w:pPr>
            <w:r>
              <w:t xml:space="preserve">20,27%</w:t>
            </w:r>
          </w:p>
        </w:tc>
      </w:tr>
      <w:tr>
        <w:tc>
          <w:tcPr/>
          <w:p>
            <w:pPr>
              <w:pStyle w:val="Compact"/>
            </w:pPr>
            <w:r>
              <w:t xml:space="preserve">Switzerland</w:t>
            </w:r>
          </w:p>
        </w:tc>
        <w:tc>
          <w:tcPr/>
          <w:p>
            <w:pPr>
              <w:pStyle w:val="Compact"/>
            </w:pPr>
            <w:r>
              <w:t xml:space="preserve">n/a</w:t>
            </w:r>
          </w:p>
        </w:tc>
        <w:tc>
          <w:tcPr/>
          <w:p>
            <w:pPr>
              <w:pStyle w:val="Compact"/>
            </w:pPr>
            <w:r>
              <w:t xml:space="preserve">n/a</w:t>
            </w:r>
          </w:p>
        </w:tc>
        <w:tc>
          <w:tcPr/>
          <w:p>
            <w:pPr>
              <w:pStyle w:val="Compact"/>
            </w:pPr>
            <w:r>
              <w:t xml:space="preserve">n/a</w:t>
            </w:r>
          </w:p>
        </w:tc>
        <w:tc>
          <w:tcPr/>
          <w:p>
            <w:pPr>
              <w:pStyle w:val="Compact"/>
            </w:pPr>
            <w:r>
              <w:t xml:space="preserve">n/a</w:t>
            </w:r>
          </w:p>
        </w:tc>
        <w:tc>
          <w:tcPr/>
          <w:p>
            <w:pPr>
              <w:pStyle w:val="Compact"/>
            </w:pPr>
            <w:r>
              <w:t xml:space="preserve">n/a</w:t>
            </w:r>
          </w:p>
        </w:tc>
      </w:tr>
      <w:tr>
        <w:tc>
          <w:tcPr/>
          <w:p>
            <w:pPr>
              <w:pStyle w:val="Compact"/>
            </w:pPr>
            <w:r>
              <w:t xml:space="preserve">United Kingdom</w:t>
            </w:r>
          </w:p>
        </w:tc>
        <w:tc>
          <w:tcPr/>
          <w:p>
            <w:pPr>
              <w:pStyle w:val="Compact"/>
            </w:pPr>
            <w:r>
              <w:t xml:space="preserve">178</w:t>
            </w:r>
          </w:p>
        </w:tc>
        <w:tc>
          <w:tcPr/>
          <w:p>
            <w:pPr>
              <w:pStyle w:val="Compact"/>
            </w:pPr>
            <w:r>
              <w:t xml:space="preserve">165</w:t>
            </w:r>
          </w:p>
        </w:tc>
        <w:tc>
          <w:tcPr/>
          <w:p>
            <w:pPr>
              <w:pStyle w:val="Compact"/>
            </w:pPr>
            <w:r>
              <w:t xml:space="preserve">6</w:t>
            </w:r>
          </w:p>
        </w:tc>
        <w:tc>
          <w:tcPr/>
          <w:p>
            <w:pPr>
              <w:pStyle w:val="Compact"/>
            </w:pPr>
            <w:r>
              <w:t xml:space="preserve">7</w:t>
            </w:r>
          </w:p>
        </w:tc>
        <w:tc>
          <w:tcPr/>
          <w:p>
            <w:pPr>
              <w:pStyle w:val="Compact"/>
            </w:pPr>
            <w:r>
              <w:t xml:space="preserve">3,93%</w:t>
            </w:r>
          </w:p>
        </w:tc>
      </w:tr>
      <w:tr>
        <w:tc>
          <w:tcPr/>
          <w:p>
            <w:pPr>
              <w:pStyle w:val="Compact"/>
            </w:pPr>
            <w:r>
              <w:rPr>
                <w:b/>
                <w:bCs/>
              </w:rPr>
              <w:t xml:space="preserve">TOTAL</w:t>
            </w:r>
          </w:p>
        </w:tc>
        <w:tc>
          <w:tcPr/>
          <w:p>
            <w:pPr>
              <w:pStyle w:val="Compact"/>
            </w:pPr>
            <w:r>
              <w:rPr>
                <w:b/>
                <w:bCs/>
              </w:rPr>
              <w:t xml:space="preserve">13014</w:t>
            </w:r>
          </w:p>
        </w:tc>
        <w:tc>
          <w:tcPr/>
          <w:p>
            <w:pPr>
              <w:pStyle w:val="Compact"/>
            </w:pPr>
            <w:r>
              <w:rPr>
                <w:b/>
                <w:bCs/>
              </w:rPr>
              <w:t xml:space="preserve">6721</w:t>
            </w:r>
          </w:p>
        </w:tc>
        <w:tc>
          <w:tcPr/>
          <w:p>
            <w:pPr>
              <w:pStyle w:val="Compact"/>
            </w:pPr>
            <w:r>
              <w:rPr>
                <w:b/>
                <w:bCs/>
              </w:rPr>
              <w:t xml:space="preserve">2233</w:t>
            </w:r>
          </w:p>
        </w:tc>
        <w:tc>
          <w:tcPr/>
          <w:p>
            <w:pPr>
              <w:pStyle w:val="Compact"/>
            </w:pPr>
            <w:r>
              <w:rPr>
                <w:b/>
                <w:bCs/>
              </w:rPr>
              <w:t xml:space="preserve">4060</w:t>
            </w:r>
          </w:p>
        </w:tc>
        <w:tc>
          <w:tcPr/>
          <w:p>
            <w:pPr>
              <w:pStyle w:val="Compact"/>
            </w:pPr>
            <w:r>
              <w:rPr>
                <w:b/>
                <w:bCs/>
              </w:rPr>
              <w:t xml:space="preserve">31,20%</w:t>
            </w:r>
          </w:p>
        </w:tc>
      </w:tr>
    </w:tbl>
    <w:p>
      <w:pPr>
        <w:pStyle w:val="BodyText"/>
      </w:pPr>
      <w:r>
        <w:rPr>
          <w:i/>
          <w:iCs/>
        </w:rPr>
        <w:t xml:space="preserve">² Four sites were chosen for LC/LU mapping but due to spatial query settings, those were registered as</w:t>
      </w:r>
      <w:r>
        <w:rPr>
          <w:i/>
          <w:iCs/>
        </w:rPr>
        <w:t xml:space="preserve"> </w:t>
      </w:r>
      <w:r>
        <w:rPr>
          <w:i/>
          <w:iCs/>
        </w:rPr>
        <w:t xml:space="preserve">“partly mapped”</w:t>
      </w:r>
      <w:r>
        <w:rPr>
          <w:i/>
          <w:iCs/>
        </w:rPr>
        <w:t xml:space="preserve">. Manual checks produced a coverage of 4 out of the 5 grasslands sites, resulting in an 80% grassland site coverage.</w:t>
      </w:r>
    </w:p>
    <w:p>
      <w:pPr>
        <w:pStyle w:val="BodyText"/>
      </w:pPr>
      <w:r>
        <w:t xml:space="preserve">Switzerland as non-EU state is listed in the table because of three Emerald sites there located which are included in the N2K product however it was not included in the representativeness assessment. The Emerald network have some similarities to Natura 2000 network but do not follow exactly the same criteria.</w:t>
      </w:r>
    </w:p>
    <w:p>
      <w:pPr>
        <w:pStyle w:val="BodyText"/>
      </w:pPr>
      <w:r>
        <w:t xml:space="preserve">The low numbers of some MS in the two sections of the representativeness assessment are seen as an important indicator for how the results related to these MS can be assessed. In these cases, a projection of the results which derived from a small number of sites, may not represent the situation on the national level.</w:t>
      </w:r>
    </w:p>
    <w:p>
      <w:pPr>
        <w:pStyle w:val="BodyText"/>
      </w:pPr>
      <w:r>
        <w:t xml:space="preserve">In conclusion, the mapped Natura 2000 sites are neither equally distributed across Europe nor equally representative of the MS or the Biogeographical regions. The distribution of the selected sites with a high representation are in South, South-western, Central and Eastern Europe whereas the Nordic countries and the British and Irish Isles are underrepresented.</w:t>
      </w:r>
    </w:p>
    <w:bookmarkEnd w:id="69"/>
    <w:bookmarkStart w:id="103" w:name="Xc71be678dabf2560f3ab0935a54c6426fbcc2c3"/>
    <w:p>
      <w:pPr>
        <w:pStyle w:val="Heading2"/>
      </w:pPr>
      <w:r>
        <w:t xml:space="preserve">5.4 Natura 2000 boundary changes and the impact in the CLMS N2K product Area of Interest (AoI)</w:t>
      </w:r>
    </w:p>
    <w:p>
      <w:pPr>
        <w:pStyle w:val="FirstParagraph"/>
      </w:pPr>
      <w:r>
        <w:t xml:space="preserve">The AoI for mapping the LC/LU was setup, changed and extended throughout the evolution of the CLMS N2K product, in three different phases:</w:t>
      </w:r>
    </w:p>
    <w:p>
      <w:pPr>
        <w:pStyle w:val="BodyText"/>
      </w:pPr>
      <w:r>
        <w:rPr>
          <w:b/>
          <w:bCs/>
          <w:u w:val="single"/>
        </w:rPr>
        <w:t xml:space="preserve">First</w:t>
      </w:r>
      <w:r>
        <w:t xml:space="preserve">, during the initial setup of the N2K AoI under the GIO project phase (GMES Initial Operation Phase in 2014) a selection of Natura 2000 grassland-rich sites (representing five grassland habitats types, namely, 6210, 6240, 6250, 6510 and 6520) as identified in Annex I of the Habitats Directive was used;</w:t>
      </w:r>
    </w:p>
    <w:p>
      <w:pPr>
        <w:pStyle w:val="BodyText"/>
      </w:pPr>
      <w:r>
        <w:t xml:space="preserve">A list of Natura 2000 sites was proposed by EC DG ENV on the basis of their representativeness and relative importance for the given habitat types. The information for selecting sites on the basis of the above criteria has been taken from the Natura 2000 sites’ Standard Data Forms in the most recent version of the EU-wide Natura 2000 database at the time;</w:t>
      </w:r>
    </w:p>
    <w:p>
      <w:pPr>
        <w:pStyle w:val="BodyText"/>
      </w:pPr>
      <w:r>
        <w:t xml:space="preserve">Based on this list of Natura 2000 site codes the corresponding site boundaries were extracted from the Natura 2000 Database (version: Natura 2000 v2013). This led to an AOI area of around 150.800 km²;</w:t>
      </w:r>
    </w:p>
    <w:p>
      <w:pPr>
        <w:pStyle w:val="BodyText"/>
      </w:pPr>
      <w:r>
        <w:t xml:space="preserve">A GIS- and EO data analysis was then performed to:</w:t>
      </w:r>
    </w:p>
    <w:p>
      <w:pPr>
        <w:numPr>
          <w:ilvl w:val="0"/>
          <w:numId w:val="1006"/>
        </w:numPr>
      </w:pPr>
      <w:r>
        <w:t xml:space="preserve">Buffer the Natura 2000 sites by 2km, which increased the N2K AOI area to around 252.600 km²)</w:t>
      </w:r>
    </w:p>
    <w:p>
      <w:pPr>
        <w:numPr>
          <w:ilvl w:val="0"/>
          <w:numId w:val="1006"/>
        </w:numPr>
      </w:pPr>
      <w:r>
        <w:t xml:space="preserve">Identify existing VHR satellite coverage for the reference years 2006 +/- 1 year (with extension to +/- 2 years for gap-filling) and 2012 +/- 2 years within defined seasonal windows, so that in combination they reach &gt; 80% coverage of the full (buffered) N2000 site size (i.e. in the same areas, for both time steps). This reduced the AOI to around 162.600 km² - 173.800 km²</w:t>
      </w:r>
    </w:p>
    <w:p>
      <w:pPr>
        <w:pStyle w:val="FirstParagraph"/>
      </w:pPr>
      <w:r>
        <w:t xml:space="preserve">The finally mapped N2K product during the GIO Phase covered 160.443 km².</w:t>
      </w:r>
    </w:p>
    <w:p>
      <w:pPr>
        <w:pStyle w:val="BodyText"/>
      </w:pPr>
      <w:r>
        <w:t xml:space="preserve">In the</w:t>
      </w:r>
      <w:r>
        <w:t xml:space="preserve"> </w:t>
      </w:r>
      <w:r>
        <w:rPr>
          <w:b/>
          <w:bCs/>
          <w:u w:val="single"/>
        </w:rPr>
        <w:t xml:space="preserve">second</w:t>
      </w:r>
      <w:r>
        <w:t xml:space="preserve"> </w:t>
      </w:r>
      <w:r>
        <w:t xml:space="preserve">production phase (started in 2016) the N2K AOI was enlarged. Additional Natura 2000 sites were selected, now based on a list of 32 different Annex 1 grassland habitat types as defined under the Habitats Directive. The additional Natura 2000 site boundaries were again taken from the Natura 2000 Database (this time from version: end2015). The buffer was applied to the newly selected sites and minor adaptations to the N2K AoI were made to correct imprecisions and omission errors. This changed the AoI size and geometry in a way that:</w:t>
      </w:r>
    </w:p>
    <w:p>
      <w:pPr>
        <w:numPr>
          <w:ilvl w:val="0"/>
          <w:numId w:val="1007"/>
        </w:numPr>
      </w:pPr>
      <w:r>
        <w:t xml:space="preserve">Missing 2km buffers were included, for mainly buffers around islands were missing</w:t>
      </w:r>
    </w:p>
    <w:p>
      <w:pPr>
        <w:numPr>
          <w:ilvl w:val="0"/>
          <w:numId w:val="1007"/>
        </w:numPr>
      </w:pPr>
      <w:r>
        <w:t xml:space="preserve">Wrongly clipped buffers of selected N2K sites were included</w:t>
      </w:r>
    </w:p>
    <w:p>
      <w:pPr>
        <w:numPr>
          <w:ilvl w:val="0"/>
          <w:numId w:val="1007"/>
        </w:numPr>
      </w:pPr>
      <w:r>
        <w:t xml:space="preserve">Existing gaps between N2K sites shapefile and EEA39 member states boundary shapefile were filled. Regarding water areas, those gaps over water appeared if EEA39 boundaries do not coincide with N2K site boundaries along coastlines and had also to be corrected and included</w:t>
      </w:r>
    </w:p>
    <w:p>
      <w:pPr>
        <w:numPr>
          <w:ilvl w:val="0"/>
          <w:numId w:val="1007"/>
        </w:numPr>
      </w:pPr>
      <w:r>
        <w:t xml:space="preserve">Minor gaps and spikes between the AoIs of the first and second phases were corrected and included</w:t>
      </w:r>
    </w:p>
    <w:p>
      <w:pPr>
        <w:numPr>
          <w:ilvl w:val="0"/>
          <w:numId w:val="1007"/>
        </w:numPr>
      </w:pPr>
      <w:r>
        <w:t xml:space="preserve">Small angles (&lt;20°) were checked and corrected where feasible.</w:t>
      </w:r>
    </w:p>
    <w:p>
      <w:pPr>
        <w:pStyle w:val="FirstParagraph"/>
      </w:pPr>
      <w:r>
        <w:t xml:space="preserve">In the end of the second production phase, the existing 160.443km² were complemented by 471.377 km² leading to the N2K product covering 631.820 km² for the reference years 2006 and 2012.</w:t>
      </w:r>
    </w:p>
    <w:p>
      <w:pPr>
        <w:pStyle w:val="BodyText"/>
      </w:pPr>
      <w:r>
        <w:t xml:space="preserve">In the</w:t>
      </w:r>
      <w:r>
        <w:t xml:space="preserve"> </w:t>
      </w:r>
      <w:r>
        <w:rPr>
          <w:b/>
          <w:bCs/>
          <w:u w:val="single"/>
        </w:rPr>
        <w:t xml:space="preserve">third</w:t>
      </w:r>
      <w:r>
        <w:t xml:space="preserve"> </w:t>
      </w:r>
      <w:r>
        <w:t xml:space="preserve">production phase (started in 2020 and finished in May 2021) the N2K product is updated to the reference year 2018, including the change layer 2012-2018. No changes were applied to the geographic coverage of the product.</w:t>
      </w:r>
    </w:p>
    <w:p>
      <w:pPr>
        <w:pStyle w:val="BodyText"/>
      </w:pPr>
      <w:r>
        <w:t xml:space="preserve">The option taken for the N2K product was to have a stable AoI so that the change mapping exercise could be done within the same area and that the derived statistics were not affected by changing AoI’s.</w:t>
      </w:r>
    </w:p>
    <w:p>
      <w:pPr>
        <w:pStyle w:val="BodyText"/>
      </w:pPr>
      <w:r>
        <w:t xml:space="preserve">As can be seen from the above</w:t>
      </w:r>
      <w:r>
        <w:t xml:space="preserve"> </w:t>
      </w:r>
      <w:r>
        <w:t xml:space="preserve">“</w:t>
      </w:r>
      <w:r>
        <w:rPr>
          <w:i/>
          <w:iCs/>
        </w:rPr>
        <w:t xml:space="preserve">history</w:t>
      </w:r>
      <w:r>
        <w:t xml:space="preserve">”</w:t>
      </w:r>
      <w:r>
        <w:t xml:space="preserve"> </w:t>
      </w:r>
      <w:r>
        <w:t xml:space="preserve">of the N2K AoI creation process, there were several input data sets used as well as several geospatial corrections applied to generate the currently used N2K coverage of 631.820km². As stated above there are several factors which prevent a 1:1 relation between the N2K AoI and Natura 2000 site boundaries:</w:t>
      </w:r>
    </w:p>
    <w:p>
      <w:pPr>
        <w:numPr>
          <w:ilvl w:val="0"/>
          <w:numId w:val="1008"/>
        </w:numPr>
      </w:pPr>
      <w:r>
        <w:t xml:space="preserve">Different Natura 2000 database versions were applied to generate the unbuffered N2K site selection (version Natura 2000 v2013 and later version end2015). Changes in the yearly updated Natura 2000 site definitions were not adapted for already mapped N2K sites (Figure 4)</w:t>
      </w:r>
    </w:p>
    <w:p>
      <w:pPr>
        <w:numPr>
          <w:ilvl w:val="0"/>
          <w:numId w:val="1008"/>
        </w:numPr>
      </w:pPr>
      <w:r>
        <w:t xml:space="preserve">N2K AoI adaptations to achieve a technically</w:t>
      </w:r>
      <w:r>
        <w:t xml:space="preserve"> </w:t>
      </w:r>
      <w:r>
        <w:t xml:space="preserve">“clean”</w:t>
      </w:r>
      <w:r>
        <w:t xml:space="preserve"> </w:t>
      </w:r>
      <w:r>
        <w:t xml:space="preserve">dataset may have led to deviations from a strict 2km buffer zone around each selected Natura 2000 site.</w:t>
      </w:r>
    </w:p>
    <w:p>
      <w:pPr>
        <w:numPr>
          <w:ilvl w:val="0"/>
          <w:numId w:val="1008"/>
        </w:numPr>
      </w:pPr>
      <w:r>
        <w:t xml:space="preserve">The availability of archived VHR satellite data for the reference years 2006 and 2012 required a threshold to produce N2K LC/LU information also for Natura 2000 sites covered by up to a minimum of 80% satellite data.</w:t>
      </w:r>
    </w:p>
    <w:p>
      <w:pPr>
        <w:pStyle w:val="CaptionedFigure"/>
      </w:pPr>
      <w:r>
        <w:drawing>
          <wp:inline>
            <wp:extent cx="5943600" cy="3721363"/>
            <wp:effectExtent b="0" l="0" r="0" t="0"/>
            <wp:docPr descr="Figure 4: Example of diverging Natura 2000 site boundaries (red 2015 version, blue 2019 version, grey N2K product coverage incl. the 2km buffer)" title="" id="71" name="Picture"/>
            <a:graphic>
              <a:graphicData uri="http://schemas.openxmlformats.org/drawingml/2006/picture">
                <pic:pic>
                  <pic:nvPicPr>
                    <pic:cNvPr descr="N2K_Land_Cover_Land_Use_Product_User_Manual-media/image14.png" id="72" name="Picture"/>
                    <pic:cNvPicPr>
                      <a:picLocks noChangeArrowheads="1" noChangeAspect="1"/>
                    </pic:cNvPicPr>
                  </pic:nvPicPr>
                  <pic:blipFill>
                    <a:blip r:embed="rId70"/>
                    <a:stretch>
                      <a:fillRect/>
                    </a:stretch>
                  </pic:blipFill>
                  <pic:spPr bwMode="auto">
                    <a:xfrm>
                      <a:off x="0" y="0"/>
                      <a:ext cx="5943600" cy="3721363"/>
                    </a:xfrm>
                    <a:prstGeom prst="rect">
                      <a:avLst/>
                    </a:prstGeom>
                    <a:noFill/>
                    <a:ln w="9525">
                      <a:noFill/>
                      <a:headEnd/>
                      <a:tailEnd/>
                    </a:ln>
                  </pic:spPr>
                </pic:pic>
              </a:graphicData>
            </a:graphic>
          </wp:inline>
        </w:drawing>
      </w:r>
    </w:p>
    <w:p>
      <w:pPr>
        <w:pStyle w:val="ImageCaption"/>
      </w:pPr>
      <w:r>
        <w:t xml:space="preserve">Figure 4: Example of diverging Natura 2000 site boundaries (red 2015 version, blue 2019 version, grey N2K product coverage incl. the 2km buffer)</w:t>
      </w:r>
    </w:p>
    <w:p>
      <w:pPr>
        <w:pStyle w:val="BodyText"/>
      </w:pPr>
      <w:r>
        <w:t xml:space="preserve">Also, due to the buffering of the Natura 2000 sites by 2km, the N2K sites may actually cover more than one Natura 2000 site (Figure 5). This has been one the reasons for the removal of the Natura 2000</w:t>
      </w:r>
      <w:r>
        <w:t xml:space="preserve"> </w:t>
      </w:r>
      <w:r>
        <w:rPr>
          <w:b/>
          <w:bCs/>
          <w:u w:val="single"/>
        </w:rPr>
        <w:t xml:space="preserve">Site code</w:t>
      </w:r>
      <w:r>
        <w:t xml:space="preserve"> </w:t>
      </w:r>
      <w:r>
        <w:t xml:space="preserve">from the N2K AoI, to avoid a misinterpretation of the data. Because within the same N2K polygon there could be reference to more than one Natura 2000 site.</w:t>
      </w:r>
    </w:p>
    <w:p>
      <w:pPr>
        <w:pStyle w:val="CaptionedFigure"/>
      </w:pPr>
      <w:r>
        <w:drawing>
          <wp:inline>
            <wp:extent cx="5943600" cy="4309110"/>
            <wp:effectExtent b="0" l="0" r="0" t="0"/>
            <wp:docPr descr="Figure 5 - Example of N2K AoI (red) covering multiple N2K sites (black)" title="" id="74" name="Picture"/>
            <a:graphic>
              <a:graphicData uri="http://schemas.openxmlformats.org/drawingml/2006/picture">
                <pic:pic>
                  <pic:nvPicPr>
                    <pic:cNvPr descr="N2K_Land_Cover_Land_Use_Product_User_Manual-media/image15.png" id="75" name="Picture"/>
                    <pic:cNvPicPr>
                      <a:picLocks noChangeArrowheads="1" noChangeAspect="1"/>
                    </pic:cNvPicPr>
                  </pic:nvPicPr>
                  <pic:blipFill>
                    <a:blip r:embed="rId73"/>
                    <a:stretch>
                      <a:fillRect/>
                    </a:stretch>
                  </pic:blipFill>
                  <pic:spPr bwMode="auto">
                    <a:xfrm>
                      <a:off x="0" y="0"/>
                      <a:ext cx="5943600" cy="4309110"/>
                    </a:xfrm>
                    <a:prstGeom prst="rect">
                      <a:avLst/>
                    </a:prstGeom>
                    <a:noFill/>
                    <a:ln w="9525">
                      <a:noFill/>
                      <a:headEnd/>
                      <a:tailEnd/>
                    </a:ln>
                  </pic:spPr>
                </pic:pic>
              </a:graphicData>
            </a:graphic>
          </wp:inline>
        </w:drawing>
      </w:r>
    </w:p>
    <w:p>
      <w:pPr>
        <w:pStyle w:val="ImageCaption"/>
      </w:pPr>
      <w:r>
        <w:t xml:space="preserve">Figure 5 - Example of N2K AoI (red) covering multiple N2K sites (black)</w:t>
      </w:r>
    </w:p>
    <w:p>
      <w:pPr>
        <w:pStyle w:val="BodyText"/>
      </w:pPr>
      <w:r>
        <w:t xml:space="preserve">To quantify the effects of the changing Natura 2000 Database on the N2K products a spatial analysis of the Natura 2000 database changes between 2015 and 2018 was performed.</w:t>
      </w:r>
    </w:p>
    <w:p>
      <w:pPr>
        <w:pStyle w:val="BodyText"/>
      </w:pPr>
      <w:r>
        <w:t xml:space="preserve">During the data preparation it became evident, that the Natura 2000 databases are more complex than expected. The Natura 2000 sites are very often defined as</w:t>
      </w:r>
      <w:r>
        <w:t xml:space="preserve"> </w:t>
      </w:r>
      <w:r>
        <w:t xml:space="preserve">“multi-part”</w:t>
      </w:r>
      <w:r>
        <w:t xml:space="preserve"> </w:t>
      </w:r>
      <w:r>
        <w:t xml:space="preserve">polygons (Figure 6). This means that multiple detached areas form together one Natura 2000 site. Due to the above described N2K AoI creation process, Natura 2000 sites are not always covered by the N2K product for all their single areas. This is an important fact, if N2K products are related to Standard Data Form (SDF) information, e.g. Habitat coverage within site, which relates to the complete Natura 2000 site.</w:t>
      </w:r>
    </w:p>
    <w:p>
      <w:pPr>
        <w:pStyle w:val="BodyText"/>
      </w:pPr>
      <w:r>
        <w:t xml:space="preserve">For this all Natura 2000 sites affected by the full N2K AoI were selected from the 2015 Natura 2000 Database (version: end2015). This resulted in 3872 different site codes. Performing the same process to the 2018 Natura 2000 Database (version: end2018) led to 3868 site codes. Four site codes have changed between 2015 and 2018. Here the Natura 2000 sites had a newer release data. This was for example the case for the Danish site code DK00BX044 in 2015, which was split up into two new site codes DK00BB396 and DK00BB380 (Figure 7). The four changed site codes were also included in the spatial analysis of the 2018 data.</w:t>
      </w:r>
    </w:p>
    <w:p>
      <w:pPr>
        <w:pStyle w:val="BodyText"/>
      </w:pPr>
      <w:r>
        <w:t xml:space="preserve">Other Natura 2000 DB changes led to a partial coverage of 2018 geometries of formerly fully covered in 2015 (Figure 8). Partially these changes might still be covered by the N2K AoI, but initially the original 2km buffer around the site is no longer valid for the complete site (Figure 9).</w:t>
      </w:r>
    </w:p>
    <w:p>
      <w:pPr>
        <w:pStyle w:val="CaptionedFigure"/>
      </w:pPr>
      <w:r>
        <w:drawing>
          <wp:inline>
            <wp:extent cx="5943600" cy="2287966"/>
            <wp:effectExtent b="0" l="0" r="0" t="0"/>
            <wp:docPr descr="Figure 6 - Example of multi-part Natura 2000 site (AT3210001) only partially covered by N2K AOI" title="" id="77" name="Picture"/>
            <a:graphic>
              <a:graphicData uri="http://schemas.openxmlformats.org/drawingml/2006/picture">
                <pic:pic>
                  <pic:nvPicPr>
                    <pic:cNvPr descr="N2K_Land_Cover_Land_Use_Product_User_Manual-media/image16.png" id="78" name="Picture"/>
                    <pic:cNvPicPr>
                      <a:picLocks noChangeArrowheads="1" noChangeAspect="1"/>
                    </pic:cNvPicPr>
                  </pic:nvPicPr>
                  <pic:blipFill>
                    <a:blip r:embed="rId76"/>
                    <a:stretch>
                      <a:fillRect/>
                    </a:stretch>
                  </pic:blipFill>
                  <pic:spPr bwMode="auto">
                    <a:xfrm>
                      <a:off x="0" y="0"/>
                      <a:ext cx="5943600" cy="2287966"/>
                    </a:xfrm>
                    <a:prstGeom prst="rect">
                      <a:avLst/>
                    </a:prstGeom>
                    <a:noFill/>
                    <a:ln w="9525">
                      <a:noFill/>
                      <a:headEnd/>
                      <a:tailEnd/>
                    </a:ln>
                  </pic:spPr>
                </pic:pic>
              </a:graphicData>
            </a:graphic>
          </wp:inline>
        </w:drawing>
      </w:r>
    </w:p>
    <w:p>
      <w:pPr>
        <w:pStyle w:val="ImageCaption"/>
      </w:pPr>
      <w:r>
        <w:t xml:space="preserve">Figure 6 - Example of multi-part Natura 2000 site (AT3210001) only partially covered by N2K AOI</w:t>
      </w:r>
    </w:p>
    <w:p>
      <w:pPr>
        <w:pStyle w:val="BodyText"/>
      </w:pPr>
      <w:r>
        <w:drawing>
          <wp:inline>
            <wp:extent cx="5943600" cy="3710455"/>
            <wp:effectExtent b="0" l="0" r="0" t="0"/>
            <wp:docPr descr="" title="" id="80" name="Picture"/>
            <a:graphic>
              <a:graphicData uri="http://schemas.openxmlformats.org/drawingml/2006/picture">
                <pic:pic>
                  <pic:nvPicPr>
                    <pic:cNvPr descr="N2K_Land_Cover_Land_Use_Product_User_Manual-media/image17.jpeg" id="81" name="Picture"/>
                    <pic:cNvPicPr>
                      <a:picLocks noChangeArrowheads="1" noChangeAspect="1"/>
                    </pic:cNvPicPr>
                  </pic:nvPicPr>
                  <pic:blipFill>
                    <a:blip r:embed="rId79"/>
                    <a:stretch>
                      <a:fillRect/>
                    </a:stretch>
                  </pic:blipFill>
                  <pic:spPr bwMode="auto">
                    <a:xfrm>
                      <a:off x="0" y="0"/>
                      <a:ext cx="5943600" cy="3710455"/>
                    </a:xfrm>
                    <a:prstGeom prst="rect">
                      <a:avLst/>
                    </a:prstGeom>
                    <a:noFill/>
                    <a:ln w="9525">
                      <a:noFill/>
                      <a:headEnd/>
                      <a:tailEnd/>
                    </a:ln>
                  </pic:spPr>
                </pic:pic>
              </a:graphicData>
            </a:graphic>
          </wp:inline>
        </w:drawing>
      </w:r>
    </w:p>
    <w:p>
      <w:pPr>
        <w:pStyle w:val="CaptionedFigure"/>
      </w:pPr>
      <w:r>
        <w:drawing>
          <wp:inline>
            <wp:extent cx="5943600" cy="3768900"/>
            <wp:effectExtent b="0" l="0" r="0" t="0"/>
            <wp:docPr descr="Figure 7 - Example of changed site codes and geometries from 2015 (top) to 2018 (bottom) Natura 2000 DB version" title="" id="83" name="Picture"/>
            <a:graphic>
              <a:graphicData uri="http://schemas.openxmlformats.org/drawingml/2006/picture">
                <pic:pic>
                  <pic:nvPicPr>
                    <pic:cNvPr descr="N2K_Land_Cover_Land_Use_Product_User_Manual-media/image18.jpeg" id="84" name="Picture"/>
                    <pic:cNvPicPr>
                      <a:picLocks noChangeArrowheads="1" noChangeAspect="1"/>
                    </pic:cNvPicPr>
                  </pic:nvPicPr>
                  <pic:blipFill>
                    <a:blip r:embed="rId82"/>
                    <a:stretch>
                      <a:fillRect/>
                    </a:stretch>
                  </pic:blipFill>
                  <pic:spPr bwMode="auto">
                    <a:xfrm>
                      <a:off x="0" y="0"/>
                      <a:ext cx="5943600" cy="3768900"/>
                    </a:xfrm>
                    <a:prstGeom prst="rect">
                      <a:avLst/>
                    </a:prstGeom>
                    <a:noFill/>
                    <a:ln w="9525">
                      <a:noFill/>
                      <a:headEnd/>
                      <a:tailEnd/>
                    </a:ln>
                  </pic:spPr>
                </pic:pic>
              </a:graphicData>
            </a:graphic>
          </wp:inline>
        </w:drawing>
      </w:r>
    </w:p>
    <w:p>
      <w:pPr>
        <w:pStyle w:val="ImageCaption"/>
      </w:pPr>
      <w:r>
        <w:t xml:space="preserve">Figure 7 - Example of changed site codes and geometries from 2015 (top) to 2018 (bottom) Natura 2000 DB version</w:t>
      </w:r>
    </w:p>
    <w:p>
      <w:pPr>
        <w:pStyle w:val="BodyText"/>
      </w:pPr>
      <w:r>
        <w:drawing>
          <wp:inline>
            <wp:extent cx="4914900" cy="6375400"/>
            <wp:effectExtent b="0" l="0" r="0" t="0"/>
            <wp:docPr descr="" title="" id="86" name="Picture"/>
            <a:graphic>
              <a:graphicData uri="http://schemas.openxmlformats.org/drawingml/2006/picture">
                <pic:pic>
                  <pic:nvPicPr>
                    <pic:cNvPr descr="N2K_Land_Cover_Land_Use_Product_User_Manual-media/image19.jpeg" id="87" name="Picture"/>
                    <pic:cNvPicPr>
                      <a:picLocks noChangeArrowheads="1" noChangeAspect="1"/>
                    </pic:cNvPicPr>
                  </pic:nvPicPr>
                  <pic:blipFill>
                    <a:blip r:embed="rId85"/>
                    <a:stretch>
                      <a:fillRect/>
                    </a:stretch>
                  </pic:blipFill>
                  <pic:spPr bwMode="auto">
                    <a:xfrm>
                      <a:off x="0" y="0"/>
                      <a:ext cx="4914900" cy="6375400"/>
                    </a:xfrm>
                    <a:prstGeom prst="rect">
                      <a:avLst/>
                    </a:prstGeom>
                    <a:noFill/>
                    <a:ln w="9525">
                      <a:noFill/>
                      <a:headEnd/>
                      <a:tailEnd/>
                    </a:ln>
                  </pic:spPr>
                </pic:pic>
              </a:graphicData>
            </a:graphic>
          </wp:inline>
        </w:drawing>
      </w:r>
    </w:p>
    <w:p>
      <w:pPr>
        <w:pStyle w:val="CaptionedFigure"/>
      </w:pPr>
      <w:r>
        <w:drawing>
          <wp:inline>
            <wp:extent cx="4851400" cy="6362700"/>
            <wp:effectExtent b="0" l="0" r="0" t="0"/>
            <wp:docPr descr="Figure 8 - Example of Natura 2000 DB site changes from 2015 (top) to 2018 (bottom). Background N2K AOI" title="" id="89" name="Picture"/>
            <a:graphic>
              <a:graphicData uri="http://schemas.openxmlformats.org/drawingml/2006/picture">
                <pic:pic>
                  <pic:nvPicPr>
                    <pic:cNvPr descr="N2K_Land_Cover_Land_Use_Product_User_Manual-media/image20.jpeg" id="90" name="Picture"/>
                    <pic:cNvPicPr>
                      <a:picLocks noChangeArrowheads="1" noChangeAspect="1"/>
                    </pic:cNvPicPr>
                  </pic:nvPicPr>
                  <pic:blipFill>
                    <a:blip r:embed="rId88"/>
                    <a:stretch>
                      <a:fillRect/>
                    </a:stretch>
                  </pic:blipFill>
                  <pic:spPr bwMode="auto">
                    <a:xfrm>
                      <a:off x="0" y="0"/>
                      <a:ext cx="4851400" cy="6362700"/>
                    </a:xfrm>
                    <a:prstGeom prst="rect">
                      <a:avLst/>
                    </a:prstGeom>
                    <a:noFill/>
                    <a:ln w="9525">
                      <a:noFill/>
                      <a:headEnd/>
                      <a:tailEnd/>
                    </a:ln>
                  </pic:spPr>
                </pic:pic>
              </a:graphicData>
            </a:graphic>
          </wp:inline>
        </w:drawing>
      </w:r>
    </w:p>
    <w:p>
      <w:pPr>
        <w:pStyle w:val="ImageCaption"/>
      </w:pPr>
      <w:r>
        <w:t xml:space="preserve">Figure 8 - Example of Natura 2000 DB site changes from 2015 (top) to 2018 (bottom). Background N2K AOI</w:t>
      </w:r>
    </w:p>
    <w:p>
      <w:pPr>
        <w:pStyle w:val="BodyText"/>
      </w:pPr>
      <w:r>
        <w:drawing>
          <wp:inline>
            <wp:extent cx="5892800" cy="5245100"/>
            <wp:effectExtent b="0" l="0" r="0" t="0"/>
            <wp:docPr descr="" title="" id="92" name="Picture"/>
            <a:graphic>
              <a:graphicData uri="http://schemas.openxmlformats.org/drawingml/2006/picture">
                <pic:pic>
                  <pic:nvPicPr>
                    <pic:cNvPr descr="N2K_Land_Cover_Land_Use_Product_User_Manual-media/image21.jpeg" id="93" name="Picture"/>
                    <pic:cNvPicPr>
                      <a:picLocks noChangeArrowheads="1" noChangeAspect="1"/>
                    </pic:cNvPicPr>
                  </pic:nvPicPr>
                  <pic:blipFill>
                    <a:blip r:embed="rId91"/>
                    <a:stretch>
                      <a:fillRect/>
                    </a:stretch>
                  </pic:blipFill>
                  <pic:spPr bwMode="auto">
                    <a:xfrm>
                      <a:off x="0" y="0"/>
                      <a:ext cx="5892800" cy="5245100"/>
                    </a:xfrm>
                    <a:prstGeom prst="rect">
                      <a:avLst/>
                    </a:prstGeom>
                    <a:noFill/>
                    <a:ln w="9525">
                      <a:noFill/>
                      <a:headEnd/>
                      <a:tailEnd/>
                    </a:ln>
                  </pic:spPr>
                </pic:pic>
              </a:graphicData>
            </a:graphic>
          </wp:inline>
        </w:drawing>
      </w:r>
    </w:p>
    <w:p>
      <w:pPr>
        <w:pStyle w:val="CaptionedFigure"/>
      </w:pPr>
      <w:r>
        <w:drawing>
          <wp:inline>
            <wp:extent cx="5892800" cy="5245100"/>
            <wp:effectExtent b="0" l="0" r="0" t="0"/>
            <wp:docPr descr="Figure 9 - More examples of Natura 2000 DB site changes from 2015 (top) to 2018 (bottom). Background N2K AOI" title="" id="95" name="Picture"/>
            <a:graphic>
              <a:graphicData uri="http://schemas.openxmlformats.org/drawingml/2006/picture">
                <pic:pic>
                  <pic:nvPicPr>
                    <pic:cNvPr descr="N2K_Land_Cover_Land_Use_Product_User_Manual-media/image22.jpeg" id="96" name="Picture"/>
                    <pic:cNvPicPr>
                      <a:picLocks noChangeArrowheads="1" noChangeAspect="1"/>
                    </pic:cNvPicPr>
                  </pic:nvPicPr>
                  <pic:blipFill>
                    <a:blip r:embed="rId94"/>
                    <a:stretch>
                      <a:fillRect/>
                    </a:stretch>
                  </pic:blipFill>
                  <pic:spPr bwMode="auto">
                    <a:xfrm>
                      <a:off x="0" y="0"/>
                      <a:ext cx="5892800" cy="5245100"/>
                    </a:xfrm>
                    <a:prstGeom prst="rect">
                      <a:avLst/>
                    </a:prstGeom>
                    <a:noFill/>
                    <a:ln w="9525">
                      <a:noFill/>
                      <a:headEnd/>
                      <a:tailEnd/>
                    </a:ln>
                  </pic:spPr>
                </pic:pic>
              </a:graphicData>
            </a:graphic>
          </wp:inline>
        </w:drawing>
      </w:r>
    </w:p>
    <w:p>
      <w:pPr>
        <w:pStyle w:val="ImageCaption"/>
      </w:pPr>
      <w:r>
        <w:t xml:space="preserve">Figure 9 - More examples of Natura 2000 DB site changes from 2015 (top) to 2018 (bottom). Background N2K AOI</w:t>
      </w:r>
    </w:p>
    <w:p>
      <w:pPr>
        <w:pStyle w:val="BodyText"/>
      </w:pPr>
      <w:r>
        <w:t xml:space="preserve">The Natura 2000 site boundaries were intersected with the N2K AoI for both years to analyse the total area covered by the Natura 2000 sites, and their spatial overlap with the N2K AoI. Due to the fact that there are overlapping geometries in the Natura 2000 sites DB (Figure 10), the analysis was performed also with the Natura 2000 sites merged to one analysis extent.</w:t>
      </w:r>
    </w:p>
    <w:p>
      <w:pPr>
        <w:pStyle w:val="BodyText"/>
      </w:pPr>
      <w:r>
        <w:t xml:space="preserve">The results showed that more than 98% of the area covered by the selected grassland-rich Natura 2000 sites is covered by the N2K product in for both Natura 2000 site definitions, version end2015 and end2018 (Figure 5).</w:t>
      </w:r>
    </w:p>
    <w:p>
      <w:pPr>
        <w:pStyle w:val="CaptionedFigure"/>
      </w:pPr>
      <w:r>
        <w:drawing>
          <wp:inline>
            <wp:extent cx="5943600" cy="3996979"/>
            <wp:effectExtent b="0" l="0" r="0" t="0"/>
            <wp:docPr descr="Figure 10 - Example of Natura 2000 DB site overlap. The site codes IT6020025, IT7120201 and IT5340010 overlay the area of site code IT7110128." title="" id="98" name="Picture"/>
            <a:graphic>
              <a:graphicData uri="http://schemas.openxmlformats.org/drawingml/2006/picture">
                <pic:pic>
                  <pic:nvPicPr>
                    <pic:cNvPr descr="N2K_Land_Cover_Land_Use_Product_User_Manual-media/image23.jpeg" id="99" name="Picture"/>
                    <pic:cNvPicPr>
                      <a:picLocks noChangeArrowheads="1" noChangeAspect="1"/>
                    </pic:cNvPicPr>
                  </pic:nvPicPr>
                  <pic:blipFill>
                    <a:blip r:embed="rId97"/>
                    <a:stretch>
                      <a:fillRect/>
                    </a:stretch>
                  </pic:blipFill>
                  <pic:spPr bwMode="auto">
                    <a:xfrm>
                      <a:off x="0" y="0"/>
                      <a:ext cx="5943600" cy="3996979"/>
                    </a:xfrm>
                    <a:prstGeom prst="rect">
                      <a:avLst/>
                    </a:prstGeom>
                    <a:noFill/>
                    <a:ln w="9525">
                      <a:noFill/>
                      <a:headEnd/>
                      <a:tailEnd/>
                    </a:ln>
                  </pic:spPr>
                </pic:pic>
              </a:graphicData>
            </a:graphic>
          </wp:inline>
        </w:drawing>
      </w:r>
    </w:p>
    <w:p>
      <w:pPr>
        <w:pStyle w:val="ImageCaption"/>
      </w:pPr>
      <w:r>
        <w:t xml:space="preserve">Figure 10 - Example of Natura 2000 DB site overlap. The site codes IT6020025, IT7120201 and IT5340010 overlay the area of site code IT7110128.</w:t>
      </w:r>
    </w:p>
    <w:p>
      <w:pPr>
        <w:pStyle w:val="TableCaption"/>
      </w:pPr>
      <w:r>
        <w:t xml:space="preserve">Table 4 - Spatial coverage of Natura 2000 DB sites by N2K AOI in 2015 and 2018</w:t>
      </w:r>
    </w:p>
    <w:tbl>
      <w:tblPr>
        <w:tblStyle w:val="Table"/>
        <w:tblW w:type="pct" w:w="4925"/>
        <w:tblLayout w:type="fixed"/>
        <w:tblLook w:firstRow="1" w:lastRow="0" w:firstColumn="0" w:lastColumn="0" w:noHBand="0" w:noVBand="0" w:val="0020"/>
        <w:tblCaption w:val="Table 4 - Spatial coverage of Natura 2000 DB sites by N2K AOI in 2015 and 2018"/>
      </w:tblPr>
      <w:tblGrid>
        <w:gridCol w:w="4585"/>
        <w:gridCol w:w="774"/>
        <w:gridCol w:w="833"/>
        <w:gridCol w:w="1607"/>
      </w:tblGrid>
      <w:tr>
        <w:trPr>
          <w:tblHeader w:val="on"/>
        </w:trPr>
        <w:tc>
          <w:tcPr/>
          <w:p>
            <w:pPr>
              <w:pStyle w:val="Compact"/>
            </w:pPr>
          </w:p>
        </w:tc>
        <w:tc>
          <w:tcPr/>
          <w:p>
            <w:pPr>
              <w:pStyle w:val="Compact"/>
              <w:jc w:val="left"/>
            </w:pPr>
            <w:r>
              <w:rPr>
                <w:b/>
                <w:bCs/>
              </w:rPr>
              <w:t xml:space="preserve">2015</w:t>
            </w:r>
          </w:p>
        </w:tc>
        <w:tc>
          <w:tcPr/>
          <w:p>
            <w:pPr>
              <w:pStyle w:val="Compact"/>
              <w:jc w:val="left"/>
            </w:pPr>
            <w:r>
              <w:rPr>
                <w:b/>
                <w:bCs/>
              </w:rPr>
              <w:t xml:space="preserve">2018</w:t>
            </w:r>
          </w:p>
        </w:tc>
        <w:tc>
          <w:tcPr/>
          <w:p>
            <w:pPr>
              <w:pStyle w:val="Compact"/>
              <w:jc w:val="left"/>
            </w:pPr>
            <w:r>
              <w:rPr>
                <w:b/>
                <w:bCs/>
              </w:rPr>
              <w:t xml:space="preserve">Difference 2015-2018</w:t>
            </w:r>
          </w:p>
        </w:tc>
      </w:tr>
      <w:tr>
        <w:tc>
          <w:tcPr/>
          <w:p>
            <w:pPr>
              <w:pStyle w:val="Compact"/>
            </w:pPr>
            <w:r>
              <w:t xml:space="preserve">Total area of Natura 2000 sites (with overlaps) [km²]</w:t>
            </w:r>
          </w:p>
        </w:tc>
        <w:tc>
          <w:tcPr/>
          <w:p>
            <w:pPr>
              <w:pStyle w:val="Compact"/>
              <w:jc w:val="left"/>
            </w:pPr>
            <w:r>
              <w:t xml:space="preserve">284.195,48</w:t>
            </w:r>
          </w:p>
        </w:tc>
        <w:tc>
          <w:tcPr/>
          <w:p>
            <w:pPr>
              <w:pStyle w:val="Compact"/>
              <w:jc w:val="left"/>
            </w:pPr>
            <w:r>
              <w:t xml:space="preserve">284.977,85</w:t>
            </w:r>
          </w:p>
        </w:tc>
        <w:tc>
          <w:tcPr/>
          <w:p>
            <w:pPr>
              <w:pStyle w:val="Compact"/>
              <w:jc w:val="left"/>
            </w:pPr>
            <w:r>
              <w:t xml:space="preserve">+ 782,37</w:t>
            </w:r>
          </w:p>
        </w:tc>
      </w:tr>
      <w:tr>
        <w:tc>
          <w:tcPr/>
          <w:p>
            <w:pPr>
              <w:pStyle w:val="Compact"/>
            </w:pPr>
            <w:r>
              <w:t xml:space="preserve">Total area of Natura 2000 sites (without overlaps) [km²]</w:t>
            </w:r>
          </w:p>
        </w:tc>
        <w:tc>
          <w:tcPr/>
          <w:p>
            <w:pPr>
              <w:pStyle w:val="Compact"/>
              <w:jc w:val="left"/>
            </w:pPr>
            <w:r>
              <w:t xml:space="preserve">272.483,95</w:t>
            </w:r>
          </w:p>
        </w:tc>
        <w:tc>
          <w:tcPr/>
          <w:p>
            <w:pPr>
              <w:pStyle w:val="Compact"/>
              <w:jc w:val="left"/>
            </w:pPr>
            <w:r>
              <w:t xml:space="preserve">273.266,93</w:t>
            </w:r>
          </w:p>
        </w:tc>
        <w:tc>
          <w:tcPr/>
          <w:p>
            <w:pPr>
              <w:pStyle w:val="Compact"/>
              <w:jc w:val="left"/>
            </w:pPr>
            <w:r>
              <w:t xml:space="preserve">+ 782,98</w:t>
            </w:r>
          </w:p>
        </w:tc>
      </w:tr>
      <w:tr>
        <w:tc>
          <w:tcPr/>
          <w:p>
            <w:pPr>
              <w:pStyle w:val="Compact"/>
            </w:pPr>
            <w:r>
              <w:t xml:space="preserve">Area of Natura 2000 sites (without overlap) covered by N2K AOI [km²]</w:t>
            </w:r>
          </w:p>
        </w:tc>
        <w:tc>
          <w:tcPr/>
          <w:p>
            <w:pPr>
              <w:pStyle w:val="Compact"/>
              <w:jc w:val="left"/>
            </w:pPr>
            <w:r>
              <w:t xml:space="preserve">267.820,37</w:t>
            </w:r>
          </w:p>
        </w:tc>
        <w:tc>
          <w:tcPr/>
          <w:p>
            <w:pPr>
              <w:pStyle w:val="Compact"/>
              <w:jc w:val="left"/>
            </w:pPr>
            <w:r>
              <w:t xml:space="preserve">268.167,05</w:t>
            </w:r>
          </w:p>
        </w:tc>
        <w:tc>
          <w:tcPr/>
          <w:p>
            <w:pPr>
              <w:pStyle w:val="Compact"/>
              <w:jc w:val="left"/>
            </w:pPr>
            <w:r>
              <w:t xml:space="preserve">+ 346,68</w:t>
            </w:r>
          </w:p>
        </w:tc>
      </w:tr>
      <w:tr>
        <w:tc>
          <w:tcPr/>
          <w:p>
            <w:pPr>
              <w:pStyle w:val="Compact"/>
            </w:pPr>
            <w:r>
              <w:t xml:space="preserve">Percentage of Natura 2000 area covered by N2K AOI (without overlaps) [%]</w:t>
            </w:r>
          </w:p>
        </w:tc>
        <w:tc>
          <w:tcPr/>
          <w:p>
            <w:pPr>
              <w:pStyle w:val="Compact"/>
              <w:jc w:val="left"/>
            </w:pPr>
            <w:r>
              <w:t xml:space="preserve">98,3</w:t>
            </w:r>
          </w:p>
        </w:tc>
        <w:tc>
          <w:tcPr/>
          <w:p>
            <w:pPr>
              <w:pStyle w:val="Compact"/>
              <w:jc w:val="left"/>
            </w:pPr>
            <w:r>
              <w:t xml:space="preserve">98,1</w:t>
            </w:r>
          </w:p>
        </w:tc>
        <w:tc>
          <w:tcPr/>
          <w:p>
            <w:pPr>
              <w:pStyle w:val="Compact"/>
              <w:jc w:val="left"/>
            </w:pPr>
            <w:r>
              <w:t xml:space="preserve">- 0,2</w:t>
            </w:r>
          </w:p>
        </w:tc>
      </w:tr>
    </w:tbl>
    <w:p>
      <w:pPr>
        <w:pStyle w:val="BodyText"/>
      </w:pPr>
      <w:r>
        <w:t xml:space="preserve">Comparing the spatial dynamics of the 2015 and 2018 Natura 2000 site boundaries in comparison to the current N2K AOU showed that the selected sites in the 2018 Natura 2000 DB had around 537 km² area removed, which was still contained in the 2015 DB version, whereas around 1.320 km² were newly added in the 2018 DB version. Of this newly added area, 66% was still covered by the unchanged N2K AOI (Figure 6).</w:t>
      </w:r>
    </w:p>
    <w:p>
      <w:pPr>
        <w:pStyle w:val="TableCaption"/>
      </w:pPr>
      <w:r>
        <w:t xml:space="preserve">Table 5 - Area changes for Natura 2000 DB sites from 2015 to 2018</w:t>
      </w:r>
    </w:p>
    <w:tbl>
      <w:tblPr>
        <w:tblStyle w:val="Table"/>
        <w:tblW w:type="pct" w:w="4901"/>
        <w:tblLayout w:type="fixed"/>
        <w:tblLook w:firstRow="1" w:lastRow="0" w:firstColumn="0" w:lastColumn="0" w:noHBand="0" w:noVBand="0" w:val="0020"/>
        <w:tblCaption w:val="Table 5 - Area changes for Natura 2000 DB sites from 2015 to 2018"/>
      </w:tblPr>
      <w:tblGrid>
        <w:gridCol w:w="3215"/>
        <w:gridCol w:w="2822"/>
        <w:gridCol w:w="1725"/>
      </w:tblGrid>
      <w:tr>
        <w:trPr>
          <w:tblHeader w:val="on"/>
        </w:trPr>
        <w:tc>
          <w:tcPr/>
          <w:p>
            <w:pPr>
              <w:pStyle w:val="Compact"/>
              <w:jc w:val="left"/>
            </w:pPr>
            <w:r>
              <w:rPr>
                <w:b/>
                <w:bCs/>
              </w:rPr>
              <w:t xml:space="preserve">Natura 2000 area changes 2015-2018</w:t>
            </w:r>
          </w:p>
        </w:tc>
        <w:tc>
          <w:tcPr/>
          <w:p>
            <w:pPr>
              <w:pStyle w:val="Compact"/>
            </w:pPr>
          </w:p>
        </w:tc>
        <w:tc>
          <w:tcPr/>
          <w:p>
            <w:pPr>
              <w:pStyle w:val="Compact"/>
              <w:jc w:val="right"/>
            </w:pPr>
            <w:r>
              <w:rPr>
                <w:b/>
                <w:bCs/>
              </w:rPr>
              <w:t xml:space="preserve">Value</w:t>
            </w:r>
          </w:p>
        </w:tc>
      </w:tr>
      <w:tr>
        <w:tc>
          <w:tcPr/>
          <w:p>
            <w:pPr>
              <w:pStyle w:val="Compact"/>
              <w:jc w:val="left"/>
            </w:pPr>
            <w:r>
              <w:t xml:space="preserve">Common area in 2015 and 2018</w:t>
            </w:r>
          </w:p>
        </w:tc>
        <w:tc>
          <w:tcPr/>
          <w:p>
            <w:pPr>
              <w:pStyle w:val="Compact"/>
            </w:pPr>
          </w:p>
        </w:tc>
        <w:tc>
          <w:tcPr/>
          <w:p>
            <w:pPr>
              <w:pStyle w:val="Compact"/>
              <w:jc w:val="right"/>
            </w:pPr>
            <w:r>
              <w:t xml:space="preserve">271.946,91 km²</w:t>
            </w:r>
          </w:p>
        </w:tc>
      </w:tr>
      <w:tr>
        <w:tc>
          <w:tcPr/>
          <w:p>
            <w:pPr>
              <w:pStyle w:val="Compact"/>
              <w:jc w:val="left"/>
            </w:pPr>
            <w:r>
              <w:t xml:space="preserve">Area only in 2015 data (removed)</w:t>
            </w:r>
          </w:p>
        </w:tc>
        <w:tc>
          <w:tcPr/>
          <w:p>
            <w:pPr>
              <w:pStyle w:val="Compact"/>
            </w:pPr>
          </w:p>
        </w:tc>
        <w:tc>
          <w:tcPr/>
          <w:p>
            <w:pPr>
              <w:pStyle w:val="Compact"/>
              <w:jc w:val="right"/>
            </w:pPr>
            <w:r>
              <w:t xml:space="preserve">537,04 km²</w:t>
            </w:r>
          </w:p>
        </w:tc>
      </w:tr>
      <w:tr>
        <w:tc>
          <w:tcPr/>
          <w:p>
            <w:pPr>
              <w:pStyle w:val="Compact"/>
              <w:jc w:val="left"/>
            </w:pPr>
            <w:r>
              <w:t xml:space="preserve">Area only in 2018 data (new)</w:t>
            </w:r>
          </w:p>
        </w:tc>
        <w:tc>
          <w:tcPr/>
          <w:p>
            <w:pPr>
              <w:pStyle w:val="Compact"/>
            </w:pPr>
          </w:p>
        </w:tc>
        <w:tc>
          <w:tcPr/>
          <w:p>
            <w:pPr>
              <w:pStyle w:val="Compact"/>
              <w:jc w:val="right"/>
            </w:pPr>
            <w:r>
              <w:t xml:space="preserve">1320,02 km²</w:t>
            </w:r>
          </w:p>
        </w:tc>
      </w:tr>
      <w:tr>
        <w:tc>
          <w:tcPr/>
          <w:p>
            <w:pPr>
              <w:pStyle w:val="Compact"/>
            </w:pPr>
          </w:p>
        </w:tc>
        <w:tc>
          <w:tcPr/>
          <w:p>
            <w:pPr>
              <w:pStyle w:val="Compact"/>
            </w:pPr>
            <w:r>
              <w:t xml:space="preserve">covered by N2K AOI (Inside)</w:t>
            </w:r>
          </w:p>
        </w:tc>
        <w:tc>
          <w:tcPr/>
          <w:p>
            <w:pPr>
              <w:pStyle w:val="Compact"/>
              <w:jc w:val="right"/>
            </w:pPr>
            <w:r>
              <w:t xml:space="preserve">871,79 km² (66 %)</w:t>
            </w:r>
          </w:p>
        </w:tc>
      </w:tr>
      <w:tr>
        <w:tc>
          <w:tcPr/>
          <w:p>
            <w:pPr>
              <w:pStyle w:val="Compact"/>
            </w:pPr>
          </w:p>
        </w:tc>
        <w:tc>
          <w:tcPr/>
          <w:p>
            <w:pPr>
              <w:pStyle w:val="Compact"/>
            </w:pPr>
            <w:r>
              <w:t xml:space="preserve">not covered by N2K AOI (Outside)</w:t>
            </w:r>
          </w:p>
        </w:tc>
        <w:tc>
          <w:tcPr/>
          <w:p>
            <w:pPr>
              <w:pStyle w:val="Compact"/>
              <w:jc w:val="right"/>
            </w:pPr>
            <w:r>
              <w:t xml:space="preserve">448,23 km² (44 %)</w:t>
            </w:r>
          </w:p>
        </w:tc>
      </w:tr>
    </w:tbl>
    <w:p>
      <w:pPr>
        <w:pStyle w:val="BodyText"/>
      </w:pPr>
      <w:r>
        <w:t xml:space="preserve">The boundaries of Natura 2000 may change from year to year but usually those are not dramatic changes and are usually covered by the 2km buffer zone. There are however a few occasions when a change in extent may have gone over the N2K established AoI. Extreme situation illustrated below (Figure 11)</w:t>
      </w:r>
    </w:p>
    <w:p>
      <w:pPr>
        <w:pStyle w:val="CaptionedFigure"/>
      </w:pPr>
      <w:r>
        <w:drawing>
          <wp:inline>
            <wp:extent cx="5943600" cy="3451122"/>
            <wp:effectExtent b="0" l="0" r="0" t="0"/>
            <wp:docPr descr="Figure 11 – Example of a Natura 2000 site change in extent (enlargement): the green buffer follows the shape of the site in 2012, but in the 2018 Natura 2000 database the site has been enlarged therefore not anymore totally covered by the N2K AoI" title="" id="101" name="Picture"/>
            <a:graphic>
              <a:graphicData uri="http://schemas.openxmlformats.org/drawingml/2006/picture">
                <pic:pic>
                  <pic:nvPicPr>
                    <pic:cNvPr descr="N2K_Land_Cover_Land_Use_Product_User_Manual-media/image24.png" id="102" name="Picture"/>
                    <pic:cNvPicPr>
                      <a:picLocks noChangeArrowheads="1" noChangeAspect="1"/>
                    </pic:cNvPicPr>
                  </pic:nvPicPr>
                  <pic:blipFill>
                    <a:blip r:embed="rId100"/>
                    <a:stretch>
                      <a:fillRect/>
                    </a:stretch>
                  </pic:blipFill>
                  <pic:spPr bwMode="auto">
                    <a:xfrm>
                      <a:off x="0" y="0"/>
                      <a:ext cx="5943600" cy="3451122"/>
                    </a:xfrm>
                    <a:prstGeom prst="rect">
                      <a:avLst/>
                    </a:prstGeom>
                    <a:noFill/>
                    <a:ln w="9525">
                      <a:noFill/>
                      <a:headEnd/>
                      <a:tailEnd/>
                    </a:ln>
                  </pic:spPr>
                </pic:pic>
              </a:graphicData>
            </a:graphic>
          </wp:inline>
        </w:drawing>
      </w:r>
    </w:p>
    <w:p>
      <w:pPr>
        <w:pStyle w:val="ImageCaption"/>
      </w:pPr>
      <w:r>
        <w:t xml:space="preserve">Figure 11 – Example of a Natura 2000 site change in extent (enlargement): the green buffer follows the shape of the site in 2012, but in the 2018 Natura 2000 database the site has been enlarged therefore not anymore totally covered by the N2K AoI</w:t>
      </w:r>
    </w:p>
    <w:p>
      <w:pPr>
        <w:pStyle w:val="BodyText"/>
      </w:pPr>
      <w:r>
        <w:t xml:space="preserve">This was one of the reasons why it was decided to</w:t>
      </w:r>
      <w:r>
        <w:t xml:space="preserve"> </w:t>
      </w:r>
      <w:r>
        <w:rPr>
          <w:b/>
          <w:bCs/>
          <w:u w:val="single"/>
        </w:rPr>
        <w:t xml:space="preserve">remove the Natura 2000 site boundary from the N2K product:</w:t>
      </w:r>
      <w:r>
        <w:t xml:space="preserve"> </w:t>
      </w:r>
      <w:r>
        <w:t xml:space="preserve">to allow users to use the N2K LC/LU product in combination with the Natura 2000 latest boundary, if they wish so in their dedicated assessments therefore not being bound by an outdated outline that may change on a yearly basis.</w:t>
      </w:r>
    </w:p>
    <w:bookmarkEnd w:id="103"/>
    <w:bookmarkStart w:id="107" w:name="clms-n2k-status-layer"/>
    <w:p>
      <w:pPr>
        <w:pStyle w:val="Heading2"/>
      </w:pPr>
      <w:r>
        <w:t xml:space="preserve">5.5 CLMS N2K status layer</w:t>
      </w:r>
    </w:p>
    <w:p>
      <w:pPr>
        <w:pStyle w:val="FirstParagraph"/>
      </w:pPr>
      <w:r>
        <w:t xml:space="preserve">The N2K status layer represents the LC/LU status identified on the available satellite images for the specific reference year (Figure 12).</w:t>
      </w:r>
    </w:p>
    <w:p>
      <w:pPr>
        <w:pStyle w:val="CaptionedFigure"/>
      </w:pPr>
      <w:r>
        <w:drawing>
          <wp:inline>
            <wp:extent cx="5943600" cy="4204902"/>
            <wp:effectExtent b="0" l="0" r="0" t="0"/>
            <wp:docPr descr="Figure 12: CLMS N2K status product 2018. Example for a selected Natura 2000 site (DE4617303 Kalkkuppen near Brilon, Germany)." title="" id="105" name="Picture"/>
            <a:graphic>
              <a:graphicData uri="http://schemas.openxmlformats.org/drawingml/2006/picture">
                <pic:pic>
                  <pic:nvPicPr>
                    <pic:cNvPr descr="N2K_Land_Cover_Land_Use_Product_User_Manual-media/image25.png" id="106" name="Picture"/>
                    <pic:cNvPicPr>
                      <a:picLocks noChangeArrowheads="1" noChangeAspect="1"/>
                    </pic:cNvPicPr>
                  </pic:nvPicPr>
                  <pic:blipFill>
                    <a:blip r:embed="rId104"/>
                    <a:stretch>
                      <a:fillRect/>
                    </a:stretch>
                  </pic:blipFill>
                  <pic:spPr bwMode="auto">
                    <a:xfrm>
                      <a:off x="0" y="0"/>
                      <a:ext cx="5943600" cy="4204902"/>
                    </a:xfrm>
                    <a:prstGeom prst="rect">
                      <a:avLst/>
                    </a:prstGeom>
                    <a:noFill/>
                    <a:ln w="9525">
                      <a:noFill/>
                      <a:headEnd/>
                      <a:tailEnd/>
                    </a:ln>
                  </pic:spPr>
                </pic:pic>
              </a:graphicData>
            </a:graphic>
          </wp:inline>
        </w:drawing>
      </w:r>
    </w:p>
    <w:p>
      <w:pPr>
        <w:pStyle w:val="ImageCaption"/>
      </w:pPr>
      <w:r>
        <w:t xml:space="preserve">Figure 12: CLMS N2K status product 2018. Example for a selected Natura 2000 site (DE4617303 Kalkkuppen near Brilon, Germany).</w:t>
      </w:r>
    </w:p>
    <w:bookmarkEnd w:id="107"/>
    <w:bookmarkStart w:id="114" w:name="clms-n2k-change-layer"/>
    <w:p>
      <w:pPr>
        <w:pStyle w:val="Heading2"/>
      </w:pPr>
      <w:r>
        <w:t xml:space="preserve">5.6 CLMS N2K change layer</w:t>
      </w:r>
    </w:p>
    <w:p>
      <w:pPr>
        <w:pStyle w:val="FirstParagraph"/>
      </w:pPr>
      <w:r>
        <w:t xml:space="preserve">The CLMS N2K change layer represents the LC/LU changes between the specific reference years and identifiable on the satellite images (Figure 13).</w:t>
      </w:r>
    </w:p>
    <w:p>
      <w:pPr>
        <w:pStyle w:val="BodyText"/>
      </w:pPr>
      <w:r>
        <w:drawing>
          <wp:inline>
            <wp:extent cx="5943600" cy="4219744"/>
            <wp:effectExtent b="0" l="0" r="0" t="0"/>
            <wp:docPr descr="" title="" id="109" name="Picture"/>
            <a:graphic>
              <a:graphicData uri="http://schemas.openxmlformats.org/drawingml/2006/picture">
                <pic:pic>
                  <pic:nvPicPr>
                    <pic:cNvPr descr="N2K_Land_Cover_Land_Use_Product_User_Manual-media/image26.png" id="110" name="Picture"/>
                    <pic:cNvPicPr>
                      <a:picLocks noChangeArrowheads="1" noChangeAspect="1"/>
                    </pic:cNvPicPr>
                  </pic:nvPicPr>
                  <pic:blipFill>
                    <a:blip r:embed="rId108"/>
                    <a:stretch>
                      <a:fillRect/>
                    </a:stretch>
                  </pic:blipFill>
                  <pic:spPr bwMode="auto">
                    <a:xfrm>
                      <a:off x="0" y="0"/>
                      <a:ext cx="5943600" cy="4219744"/>
                    </a:xfrm>
                    <a:prstGeom prst="rect">
                      <a:avLst/>
                    </a:prstGeom>
                    <a:noFill/>
                    <a:ln w="9525">
                      <a:noFill/>
                      <a:headEnd/>
                      <a:tailEnd/>
                    </a:ln>
                  </pic:spPr>
                </pic:pic>
              </a:graphicData>
            </a:graphic>
          </wp:inline>
        </w:drawing>
      </w:r>
    </w:p>
    <w:p>
      <w:pPr>
        <w:pStyle w:val="CaptionedFigure"/>
      </w:pPr>
      <w:r>
        <w:drawing>
          <wp:inline>
            <wp:extent cx="5943600" cy="4219744"/>
            <wp:effectExtent b="0" l="0" r="0" t="0"/>
            <wp:docPr descr="Figure 13: CLMS N2K Change product 2006-2012 (top) and 2012-2018 (bottom). Example for a selected Natura 2000 site (DE4617303 Kalkkuppen bei Brilon, Germany). Yellow = LC/LU changes mapped between reference years, Blue = CLMS N2K site extent" title="" id="112" name="Picture"/>
            <a:graphic>
              <a:graphicData uri="http://schemas.openxmlformats.org/drawingml/2006/picture">
                <pic:pic>
                  <pic:nvPicPr>
                    <pic:cNvPr descr="N2K_Land_Cover_Land_Use_Product_User_Manual-media/image27.png" id="113" name="Picture"/>
                    <pic:cNvPicPr>
                      <a:picLocks noChangeArrowheads="1" noChangeAspect="1"/>
                    </pic:cNvPicPr>
                  </pic:nvPicPr>
                  <pic:blipFill>
                    <a:blip r:embed="rId111"/>
                    <a:stretch>
                      <a:fillRect/>
                    </a:stretch>
                  </pic:blipFill>
                  <pic:spPr bwMode="auto">
                    <a:xfrm>
                      <a:off x="0" y="0"/>
                      <a:ext cx="5943600" cy="4219744"/>
                    </a:xfrm>
                    <a:prstGeom prst="rect">
                      <a:avLst/>
                    </a:prstGeom>
                    <a:noFill/>
                    <a:ln w="9525">
                      <a:noFill/>
                      <a:headEnd/>
                      <a:tailEnd/>
                    </a:ln>
                  </pic:spPr>
                </pic:pic>
              </a:graphicData>
            </a:graphic>
          </wp:inline>
        </w:drawing>
      </w:r>
    </w:p>
    <w:p>
      <w:pPr>
        <w:pStyle w:val="ImageCaption"/>
      </w:pPr>
      <w:r>
        <w:t xml:space="preserve">Figure 13: CLMS N2K Change product 2006-2012 (top) and 2012-2018 (bottom). Example for a selected Natura 2000 site (DE4617303 Kalkkuppen bei Brilon, Germany). Yellow = LC/LU changes mapped between reference years, Blue = CLMS N2K site extent</w:t>
      </w:r>
    </w:p>
    <w:bookmarkEnd w:id="114"/>
    <w:bookmarkStart w:id="115" w:name="technical-specification"/>
    <w:p>
      <w:pPr>
        <w:pStyle w:val="Heading2"/>
      </w:pPr>
      <w:r>
        <w:t xml:space="preserve">5.7 Technical specification</w:t>
      </w:r>
    </w:p>
    <w:p>
      <w:pPr>
        <w:pStyle w:val="FirstParagraph"/>
      </w:pPr>
      <w:r>
        <w:t xml:space="preserve">Table 6 summarizes the technical specifications of the N2K product.</w:t>
      </w:r>
    </w:p>
    <w:p>
      <w:pPr>
        <w:pStyle w:val="TableCaption"/>
      </w:pPr>
      <w:r>
        <w:t xml:space="preserve">Table 6: Product overview sheet</w:t>
      </w:r>
    </w:p>
    <w:tbl>
      <w:tblPr>
        <w:tblStyle w:val="Table"/>
        <w:tblW w:type="pct" w:w="5000"/>
        <w:tblLayout w:type="fixed"/>
        <w:tblLook w:firstRow="1" w:lastRow="0" w:firstColumn="0" w:lastColumn="0" w:noHBand="0" w:noVBand="0" w:val="0020"/>
        <w:tblCaption w:val="Table 6: Product overview sheet"/>
      </w:tblPr>
      <w:tblGrid>
        <w:gridCol w:w="1523"/>
        <w:gridCol w:w="2721"/>
        <w:gridCol w:w="1137"/>
        <w:gridCol w:w="893"/>
        <w:gridCol w:w="1137"/>
        <w:gridCol w:w="507"/>
      </w:tblGrid>
      <w:tr>
        <w:trPr>
          <w:tblHeader w:val="on"/>
        </w:trPr>
        <w:tc>
          <w:tcPr/>
          <w:p>
            <w:pPr>
              <w:pStyle w:val="Compact"/>
            </w:pPr>
            <w:r>
              <w:t xml:space="preserve">Specification</w:t>
            </w:r>
          </w:p>
        </w:tc>
        <w:tc>
          <w:tcPr/>
          <w:p>
            <w:pPr>
              <w:pStyle w:val="Compact"/>
            </w:pPr>
            <w:r>
              <w:t xml:space="preserve">LC/LU status 2018</w:t>
            </w:r>
          </w:p>
        </w:tc>
        <w:tc>
          <w:tcPr/>
          <w:p>
            <w:pPr>
              <w:pStyle w:val="Compact"/>
            </w:pPr>
            <w:r>
              <w:t xml:space="preserve">LC/LU status 2012 (revised)</w:t>
            </w:r>
          </w:p>
        </w:tc>
        <w:tc>
          <w:tcPr/>
          <w:p>
            <w:pPr>
              <w:pStyle w:val="Compact"/>
            </w:pPr>
            <w:r>
              <w:t xml:space="preserve">LC/LU status 2006 (revised)</w:t>
            </w:r>
          </w:p>
        </w:tc>
        <w:tc>
          <w:tcPr/>
          <w:p>
            <w:pPr>
              <w:pStyle w:val="Compact"/>
            </w:pPr>
            <w:r>
              <w:t xml:space="preserve">LC/LU change 2006–2012 (revised)</w:t>
            </w:r>
          </w:p>
        </w:tc>
        <w:tc>
          <w:tcPr/>
          <w:p>
            <w:pPr>
              <w:pStyle w:val="Compact"/>
            </w:pPr>
            <w:r>
              <w:t xml:space="preserve">LC/LU change 2012–2018</w:t>
            </w:r>
          </w:p>
        </w:tc>
      </w:tr>
      <w:tr>
        <w:tc>
          <w:tcPr/>
          <w:p>
            <w:pPr>
              <w:pStyle w:val="Compact"/>
            </w:pPr>
            <w:r>
              <w:t xml:space="preserve">Temporal description (VHR coverage reference dates)</w:t>
            </w:r>
          </w:p>
        </w:tc>
        <w:tc>
          <w:tcPr/>
          <w:p>
            <w:pPr>
              <w:pStyle w:val="Compact"/>
            </w:pPr>
            <w:r>
              <w:t xml:space="preserve">2018 (± 1 year)</w:t>
            </w:r>
          </w:p>
        </w:tc>
        <w:tc>
          <w:tcPr/>
          <w:p>
            <w:pPr>
              <w:pStyle w:val="Compact"/>
            </w:pPr>
            <w:r>
              <w:t xml:space="preserve">2012 (± 2 years, due to data availability)</w:t>
            </w:r>
          </w:p>
        </w:tc>
        <w:tc>
          <w:tcPr/>
          <w:p>
            <w:pPr>
              <w:pStyle w:val="Compact"/>
            </w:pPr>
            <w:r>
              <w:t xml:space="preserve">2006 (± 2 years, due to data availability)</w:t>
            </w:r>
          </w:p>
        </w:tc>
        <w:tc>
          <w:tcPr/>
          <w:p>
            <w:pPr>
              <w:pStyle w:val="Compact"/>
            </w:pPr>
            <w:r>
              <w:t xml:space="preserve">2006 and 2012</w:t>
            </w:r>
          </w:p>
        </w:tc>
        <w:tc>
          <w:tcPr/>
          <w:p>
            <w:pPr>
              <w:pStyle w:val="Compact"/>
            </w:pPr>
            <w:r>
              <w:t xml:space="preserve">2012 and 2018</w:t>
            </w:r>
          </w:p>
        </w:tc>
      </w:tr>
      <w:tr>
        <w:tc>
          <w:tcPr/>
          <w:p>
            <w:pPr>
              <w:pStyle w:val="Compact"/>
            </w:pPr>
            <w:r>
              <w:t xml:space="preserve">Overall thematic classification accuracy: LC/LU status and change layers</w:t>
            </w:r>
          </w:p>
        </w:tc>
        <w:tc>
          <w:tcPr/>
          <w:p>
            <w:pPr>
              <w:pStyle w:val="Compact"/>
            </w:pPr>
            <w:r>
              <w:t xml:space="preserve">≥ 85 % overall accuracy</w:t>
            </w:r>
          </w:p>
        </w:tc>
        <w:tc>
          <w:tcPr/>
          <w:p>
            <w:pPr>
              <w:pStyle w:val="Compact"/>
            </w:pPr>
            <w:r>
              <w:t xml:space="preserve">≥ 85 % overall accuracy</w:t>
            </w:r>
          </w:p>
        </w:tc>
        <w:tc>
          <w:tcPr/>
          <w:p>
            <w:pPr>
              <w:pStyle w:val="Compact"/>
            </w:pPr>
            <w:r>
              <w:t xml:space="preserve">≥ 85 % overall accuracy</w:t>
            </w:r>
          </w:p>
        </w:tc>
        <w:tc>
          <w:tcPr/>
          <w:p>
            <w:pPr>
              <w:pStyle w:val="Compact"/>
            </w:pPr>
            <w:r>
              <w:t xml:space="preserve">≥ 85 % overall accuracy</w:t>
            </w:r>
          </w:p>
        </w:tc>
        <w:tc>
          <w:tcPr/>
          <w:p>
            <w:pPr>
              <w:pStyle w:val="Compact"/>
            </w:pPr>
            <w:r>
              <w:t xml:space="preserve">≥ 80 % overall accuracy</w:t>
            </w:r>
          </w:p>
        </w:tc>
      </w:tr>
      <w:tr>
        <w:tc>
          <w:tcPr/>
          <w:p>
            <w:pPr>
              <w:pStyle w:val="Compact"/>
            </w:pPr>
          </w:p>
        </w:tc>
        <w:tc>
          <w:tcPr/>
          <w:p>
            <w:pPr>
              <w:pStyle w:val="Compact"/>
            </w:pPr>
            <w:r>
              <w:t xml:space="preserve">≥ 80 % for class specific user and producer accuracies</w:t>
            </w:r>
          </w:p>
        </w:tc>
        <w:tc>
          <w:tcPr/>
          <w:p>
            <w:pPr>
              <w:pStyle w:val="Compact"/>
            </w:pPr>
            <w:r>
              <w:t xml:space="preserve">≥ 80 % for class specific user and producer accuracies</w:t>
            </w:r>
          </w:p>
        </w:tc>
        <w:tc>
          <w:tcPr/>
          <w:p>
            <w:pPr>
              <w:pStyle w:val="Compact"/>
            </w:pPr>
          </w:p>
        </w:tc>
        <w:tc>
          <w:tcPr/>
          <w:p>
            <w:pPr>
              <w:pStyle w:val="Compact"/>
            </w:pPr>
            <w:r>
              <w:t xml:space="preserve">≥ 80 % for class specific user and producer accuracies</w:t>
            </w:r>
          </w:p>
        </w:tc>
        <w:tc>
          <w:tcPr/>
          <w:p>
            <w:pPr>
              <w:pStyle w:val="Compact"/>
            </w:pPr>
          </w:p>
        </w:tc>
      </w:tr>
    </w:tbl>
    <w:p>
      <w:pPr>
        <w:pStyle w:val="BodyText"/>
      </w:pPr>
      <w:r>
        <w:t xml:space="preserve"> </w:t>
      </w:r>
    </w:p>
    <w:tbl>
      <w:tblPr>
        <w:tblStyle w:val="Table"/>
        <w:tblW w:type="pct" w:w="5000"/>
        <w:tblLayout w:type="fixed"/>
        <w:tblLook w:firstRow="1" w:lastRow="0" w:firstColumn="0" w:lastColumn="0" w:noHBand="0" w:noVBand="0" w:val="0020"/>
      </w:tblPr>
      <w:tblGrid>
        <w:gridCol w:w="2376"/>
        <w:gridCol w:w="5544"/>
      </w:tblGrid>
      <w:tr>
        <w:trPr>
          <w:tblHeader w:val="on"/>
        </w:trPr>
        <w:tc>
          <w:tcPr/>
          <w:p>
            <w:pPr>
              <w:pStyle w:val="Compact"/>
            </w:pPr>
            <w:r>
              <w:t xml:space="preserve">Specification</w:t>
            </w:r>
          </w:p>
        </w:tc>
        <w:tc>
          <w:tcPr/>
          <w:p>
            <w:pPr>
              <w:pStyle w:val="Compact"/>
            </w:pPr>
            <w:r>
              <w:t xml:space="preserve">Applicable to all LC/LU statuses</w:t>
            </w:r>
          </w:p>
        </w:tc>
      </w:tr>
      <w:tr>
        <w:tc>
          <w:tcPr/>
          <w:p>
            <w:pPr>
              <w:pStyle w:val="Compact"/>
            </w:pPr>
            <w:r>
              <w:t xml:space="preserve">Geographic Coverage</w:t>
            </w:r>
          </w:p>
        </w:tc>
        <w:tc>
          <w:tcPr/>
          <w:p>
            <w:pPr>
              <w:pStyle w:val="Compact"/>
            </w:pPr>
            <w:r>
              <w:t xml:space="preserve">~ 631 820 km² across EU27 and the UK and Switzerland (N2K sites including 2km buffer); including three Emerald sites in Switzerland</w:t>
            </w:r>
          </w:p>
        </w:tc>
      </w:tr>
      <w:tr>
        <w:tc>
          <w:tcPr/>
          <w:p>
            <w:pPr>
              <w:pStyle w:val="Compact"/>
            </w:pPr>
            <w:r>
              <w:t xml:space="preserve">Minimum Mapping Unit (MMU)</w:t>
            </w:r>
          </w:p>
        </w:tc>
        <w:tc>
          <w:tcPr/>
          <w:p>
            <w:pPr>
              <w:pStyle w:val="Compact"/>
            </w:pPr>
            <w:r>
              <w:t xml:space="preserve">0.5 ha*</w:t>
            </w:r>
          </w:p>
        </w:tc>
      </w:tr>
      <w:tr>
        <w:tc>
          <w:tcPr/>
          <w:p>
            <w:pPr>
              <w:pStyle w:val="Compact"/>
            </w:pPr>
            <w:r>
              <w:t xml:space="preserve">Minimum Mapping Width (MMW)</w:t>
            </w:r>
          </w:p>
        </w:tc>
        <w:tc>
          <w:tcPr/>
          <w:p>
            <w:pPr>
              <w:pStyle w:val="Compact"/>
            </w:pPr>
            <w:r>
              <w:t xml:space="preserve">10 m**</w:t>
            </w:r>
          </w:p>
        </w:tc>
      </w:tr>
      <w:tr>
        <w:tc>
          <w:tcPr/>
          <w:p>
            <w:pPr>
              <w:pStyle w:val="Compact"/>
            </w:pPr>
            <w:r>
              <w:t xml:space="preserve">Nomenclature</w:t>
            </w:r>
          </w:p>
        </w:tc>
        <w:tc>
          <w:tcPr/>
          <w:p>
            <w:pPr>
              <w:pStyle w:val="Compact"/>
            </w:pPr>
            <w:r>
              <w:t xml:space="preserve">CLMS N2K Nomenclature and Mapping Guideline (Issue 1.4)</w:t>
            </w:r>
          </w:p>
        </w:tc>
      </w:tr>
      <w:tr>
        <w:tc>
          <w:tcPr/>
          <w:p>
            <w:pPr>
              <w:pStyle w:val="Compact"/>
            </w:pPr>
            <w:r>
              <w:t xml:space="preserve">Projection</w:t>
            </w:r>
          </w:p>
        </w:tc>
        <w:tc>
          <w:tcPr/>
          <w:p>
            <w:pPr>
              <w:pStyle w:val="Compact"/>
            </w:pPr>
            <w:r>
              <w:t xml:space="preserve">ETRS89 Lambert Azimuthal Equal Area (LAEA) (EPSG 3035)</w:t>
            </w:r>
          </w:p>
        </w:tc>
      </w:tr>
      <w:tr>
        <w:tc>
          <w:tcPr/>
          <w:p>
            <w:pPr>
              <w:pStyle w:val="Compact"/>
            </w:pPr>
            <w:r>
              <w:t xml:space="preserve">Delivery format</w:t>
            </w:r>
          </w:p>
        </w:tc>
        <w:tc>
          <w:tcPr/>
          <w:p>
            <w:pPr>
              <w:pStyle w:val="Compact"/>
            </w:pPr>
            <w:r>
              <w:t xml:space="preserve">LC/LU data: ESRI file geodatabase and GeoPackage, containing the three status (2006,2012,2018) and two change layers (2006–2012, 2012–2018)</w:t>
            </w:r>
          </w:p>
        </w:tc>
      </w:tr>
      <w:tr>
        <w:tc>
          <w:tcPr/>
          <w:p>
            <w:pPr>
              <w:pStyle w:val="Compact"/>
            </w:pPr>
            <w:r>
              <w:t xml:space="preserve">Ancillary information layer</w:t>
            </w:r>
          </w:p>
        </w:tc>
        <w:tc>
          <w:tcPr/>
          <w:p>
            <w:pPr>
              <w:pStyle w:val="Compact"/>
            </w:pPr>
            <w:r>
              <w:t xml:space="preserve">Parent Scene Identification Layer (PSIL); vector file containing spatial reference information on the satellite images used for producing the LC/LU map (on demand – send email to copernicus@eea.europa.eu)</w:t>
            </w:r>
          </w:p>
        </w:tc>
      </w:tr>
      <w:tr>
        <w:tc>
          <w:tcPr/>
          <w:p>
            <w:pPr>
              <w:pStyle w:val="Compact"/>
            </w:pPr>
            <w:r>
              <w:t xml:space="preserve">Positional accuracy</w:t>
            </w:r>
          </w:p>
        </w:tc>
        <w:tc>
          <w:tcPr/>
          <w:p>
            <w:pPr>
              <w:pStyle w:val="Compact"/>
            </w:pPr>
            <w:r>
              <w:t xml:space="preserve">RMSE ≤ 5 meters</w:t>
            </w:r>
          </w:p>
        </w:tc>
      </w:tr>
    </w:tbl>
    <w:p>
      <w:pPr>
        <w:pStyle w:val="BlockText"/>
      </w:pPr>
      <w:r>
        <w:t xml:space="preserve">* Some exceptions are allowed for polygons at the product boundary and polygons inside the boundary related to linear networks or urban areas and for change polygons in very specific cases.</w:t>
      </w:r>
    </w:p>
    <w:p>
      <w:pPr>
        <w:pStyle w:val="BlockText"/>
      </w:pPr>
      <w:r>
        <w:t xml:space="preserve">** Exceptions of 10m over a distance of up to 100m are allowed to maintain continuity of features with mostly linear nature.</w:t>
      </w:r>
    </w:p>
    <w:p>
      <w:pPr>
        <w:pStyle w:val="FirstParagraph"/>
      </w:pPr>
      <w:r>
        <w:t xml:space="preserve">The CLMS N2K products are delivered as polygon vector data for the reference years over the selected sites across Europe. Each product is delivered as a separate data set, following a uniform technical specification. The content of a download package is explained below:</w:t>
      </w:r>
    </w:p>
    <w:p>
      <w:pPr>
        <w:pStyle w:val="BodyText"/>
      </w:pPr>
      <w:r>
        <w:t xml:space="preserve">Each download package is a *.zip file which contains three folders:</w:t>
      </w:r>
    </w:p>
    <w:p>
      <w:pPr>
        <w:numPr>
          <w:ilvl w:val="0"/>
          <w:numId w:val="1009"/>
        </w:numPr>
      </w:pPr>
      <w:r>
        <w:rPr>
          <w:b/>
          <w:bCs/>
          <w:u w:val="single"/>
        </w:rPr>
        <w:t xml:space="preserve">DATA</w:t>
      </w:r>
      <w:r>
        <w:t xml:space="preserve"> </w:t>
      </w:r>
      <w:r>
        <w:t xml:space="preserve">(contains the data files in fgdb and geoPackage formats):</w:t>
      </w:r>
    </w:p>
    <w:p>
      <w:pPr>
        <w:numPr>
          <w:ilvl w:val="1"/>
          <w:numId w:val="1010"/>
        </w:numPr>
      </w:pPr>
      <w:r>
        <w:t xml:space="preserve">LC/LU status map 2006: LC/LU based on the analysis of satellite images from the reference year period 2006.</w:t>
      </w:r>
    </w:p>
    <w:p>
      <w:pPr>
        <w:pStyle w:val="Compact"/>
        <w:numPr>
          <w:ilvl w:val="2"/>
          <w:numId w:val="1011"/>
        </w:numPr>
      </w:pPr>
      <w:r>
        <w:rPr>
          <w:rStyle w:val="NormalLine"/>
        </w:rPr>
        <w:t xml:space="preserve">File name: N2K_2006_3035_v010</w:t>
      </w:r>
      <w:r>
        <w:br/>
      </w:r>
    </w:p>
    <w:p>
      <w:pPr>
        <w:numPr>
          <w:ilvl w:val="1"/>
          <w:numId w:val="1010"/>
        </w:numPr>
      </w:pPr>
      <w:r>
        <w:t xml:space="preserve">LC/LU status map 2012: LC/LU based on the analysis of satellite images from the reference year period 2012.</w:t>
      </w:r>
    </w:p>
    <w:p>
      <w:pPr>
        <w:pStyle w:val="Compact"/>
        <w:numPr>
          <w:ilvl w:val="2"/>
          <w:numId w:val="1012"/>
        </w:numPr>
      </w:pPr>
      <w:r>
        <w:rPr>
          <w:rStyle w:val="NormalLine"/>
        </w:rPr>
        <w:t xml:space="preserve">File name: N2K_2012_3035_v010</w:t>
      </w:r>
      <w:r>
        <w:br/>
      </w:r>
    </w:p>
    <w:p>
      <w:pPr>
        <w:numPr>
          <w:ilvl w:val="1"/>
          <w:numId w:val="1010"/>
        </w:numPr>
      </w:pPr>
      <w:r>
        <w:t xml:space="preserve">LC/LU status map 2018: LC and LU classification based on the analysis of satellite images from the reference year period 2018.</w:t>
      </w:r>
    </w:p>
    <w:p>
      <w:pPr>
        <w:pStyle w:val="Compact"/>
        <w:numPr>
          <w:ilvl w:val="2"/>
          <w:numId w:val="1013"/>
        </w:numPr>
      </w:pPr>
      <w:r>
        <w:rPr>
          <w:rStyle w:val="NormalLine"/>
        </w:rPr>
        <w:t xml:space="preserve">File name: N2K_2018_3035_v010</w:t>
      </w:r>
      <w:r>
        <w:br/>
      </w:r>
    </w:p>
    <w:p>
      <w:pPr>
        <w:numPr>
          <w:ilvl w:val="1"/>
          <w:numId w:val="1010"/>
        </w:numPr>
      </w:pPr>
      <w:r>
        <w:t xml:space="preserve">LC/LU change map 2006-2012: based on the outputs of the 2012 and 2006 status layers.</w:t>
      </w:r>
    </w:p>
    <w:p>
      <w:pPr>
        <w:pStyle w:val="Compact"/>
        <w:numPr>
          <w:ilvl w:val="2"/>
          <w:numId w:val="1014"/>
        </w:numPr>
      </w:pPr>
      <w:r>
        <w:rPr>
          <w:rStyle w:val="NormalLine"/>
        </w:rPr>
        <w:t xml:space="preserve">File name: N2K_Change_2006_2012_3035_v010</w:t>
      </w:r>
      <w:r>
        <w:br/>
      </w:r>
    </w:p>
    <w:p>
      <w:pPr>
        <w:numPr>
          <w:ilvl w:val="1"/>
          <w:numId w:val="1010"/>
        </w:numPr>
      </w:pPr>
      <w:r>
        <w:t xml:space="preserve">LC/LU change map 2012-2018: LC/LU change information based on the comparison of satellite images from the reference year periods 2012 and 2018. The production of this product is the basis for the status map for 2018 as well as for the revision of the previous time steps 2012 and 2006.</w:t>
      </w:r>
    </w:p>
    <w:p>
      <w:pPr>
        <w:pStyle w:val="Compact"/>
        <w:numPr>
          <w:ilvl w:val="2"/>
          <w:numId w:val="1015"/>
        </w:numPr>
      </w:pPr>
      <w:r>
        <w:rPr>
          <w:rStyle w:val="NormalLine"/>
        </w:rPr>
        <w:t xml:space="preserve">File name: N2K_Change_2012_2018_3035_v010</w:t>
      </w:r>
      <w:r>
        <w:br/>
      </w:r>
    </w:p>
    <w:p>
      <w:pPr>
        <w:numPr>
          <w:ilvl w:val="0"/>
          <w:numId w:val="1009"/>
        </w:numPr>
      </w:pPr>
      <w:r>
        <w:rPr>
          <w:b/>
          <w:bCs/>
          <w:u w:val="single"/>
        </w:rPr>
        <w:t xml:space="preserve">SYMBOLOGY</w:t>
      </w:r>
    </w:p>
    <w:p>
      <w:pPr>
        <w:pStyle w:val="FirstParagraph"/>
      </w:pPr>
      <w:r>
        <w:t xml:space="preserve">Contains symbology files in three formats: lyr, sld and qml</w:t>
      </w:r>
    </w:p>
    <w:p>
      <w:pPr>
        <w:pStyle w:val="Compact"/>
        <w:numPr>
          <w:ilvl w:val="0"/>
          <w:numId w:val="1016"/>
        </w:numPr>
      </w:pPr>
      <w:r>
        <w:rPr>
          <w:b/>
          <w:bCs/>
          <w:u w:val="single"/>
        </w:rPr>
        <w:t xml:space="preserve">METADATA</w:t>
      </w:r>
    </w:p>
    <w:p>
      <w:pPr>
        <w:pStyle w:val="FirstParagraph"/>
      </w:pPr>
      <w:r>
        <w:t xml:space="preserve">Contains metadata file in XML format</w:t>
      </w:r>
    </w:p>
    <w:p>
      <w:pPr>
        <w:pStyle w:val="BodyText"/>
      </w:pPr>
      <w:r>
        <w:t xml:space="preserve">FILE NAMING CONVENTION:</w:t>
      </w:r>
    </w:p>
    <w:p>
      <w:pPr>
        <w:pStyle w:val="BodyText"/>
      </w:pPr>
      <w:r>
        <w:t xml:space="preserve">The filename is composed of a combination of information about the data theme, the reference year/reference period, EPSG code and version number.</w:t>
      </w:r>
    </w:p>
    <w:p>
      <w:pPr>
        <w:pStyle w:val="BodyText"/>
      </w:pPr>
      <w:r>
        <w:t xml:space="preserve">| THEME| REFERENCE YEAR/REFERENCE PERIOD | EPSG CODE | VERSION</w:t>
      </w:r>
    </w:p>
    <w:p>
      <w:pPr>
        <w:pStyle w:val="BodyText"/>
      </w:pPr>
      <w:r>
        <w:t xml:space="preserve">THEME:</w:t>
      </w:r>
    </w:p>
    <w:p>
      <w:pPr>
        <w:pStyle w:val="Compact"/>
        <w:numPr>
          <w:ilvl w:val="0"/>
          <w:numId w:val="1017"/>
        </w:numPr>
      </w:pPr>
      <w:r>
        <w:t xml:space="preserve">theme refers to specific layer type: N2K - refers to status layer, N2K_Change - refers to change layer</w:t>
      </w:r>
    </w:p>
    <w:p>
      <w:pPr>
        <w:pStyle w:val="FirstParagraph"/>
      </w:pPr>
      <w:r>
        <w:t xml:space="preserve">REFERENCE YEAR:</w:t>
      </w:r>
    </w:p>
    <w:p>
      <w:pPr>
        <w:pStyle w:val="Compact"/>
        <w:numPr>
          <w:ilvl w:val="0"/>
          <w:numId w:val="1018"/>
        </w:numPr>
      </w:pPr>
      <w:r>
        <w:t xml:space="preserve">reference year refers to the year for which N2K information included in the file were mapped: 2006, 2012, 2018,</w:t>
      </w:r>
    </w:p>
    <w:p>
      <w:pPr>
        <w:pStyle w:val="FirstParagraph"/>
      </w:pPr>
      <w:r>
        <w:t xml:space="preserve">REFERENCE PERIOD:</w:t>
      </w:r>
    </w:p>
    <w:p>
      <w:pPr>
        <w:pStyle w:val="Compact"/>
        <w:numPr>
          <w:ilvl w:val="0"/>
          <w:numId w:val="1019"/>
        </w:numPr>
      </w:pPr>
      <w:r>
        <w:t xml:space="preserve">reference period refers to the period for which N2K change information were mapped: 2006-2012, 2012-2018</w:t>
      </w:r>
    </w:p>
    <w:p>
      <w:pPr>
        <w:pStyle w:val="FirstParagraph"/>
      </w:pPr>
      <w:r>
        <w:t xml:space="preserve">All products contain information on the LC/LU class as well as auxiliary information (e.g. on temporal dynamics of the mapped polygon, or change related area size exceptions). The attribute information is given per polygon following a standardized attribution scheme (Table 7 and Table 8).</w:t>
      </w:r>
    </w:p>
    <w:p>
      <w:pPr>
        <w:pStyle w:val="TableCaption"/>
      </w:pPr>
      <w:r>
        <w:t xml:space="preserve">Table 7: Product attribute definition for the table LC_LU (ESRI GDB representation)</w:t>
      </w:r>
    </w:p>
    <w:tbl>
      <w:tblPr>
        <w:tblStyle w:val="Table"/>
        <w:tblW w:type="pct" w:w="5000"/>
        <w:tblLayout w:type="fixed"/>
        <w:tblLook w:firstRow="1" w:lastRow="0" w:firstColumn="0" w:lastColumn="0" w:noHBand="0" w:noVBand="0" w:val="0020"/>
        <w:tblCaption w:val="Table 7: Product attribute definition for the table LC_LU (ESRI GDB representation)"/>
      </w:tblPr>
      <w:tblGrid>
        <w:gridCol w:w="456"/>
        <w:gridCol w:w="4416"/>
        <w:gridCol w:w="609"/>
        <w:gridCol w:w="1797"/>
        <w:gridCol w:w="639"/>
      </w:tblGrid>
      <w:tr>
        <w:trPr>
          <w:tblHeader w:val="on"/>
        </w:trPr>
        <w:tc>
          <w:tcPr/>
          <w:p>
            <w:pPr>
              <w:pStyle w:val="Compact"/>
            </w:pPr>
            <w:r>
              <w:t xml:space="preserve">Field</w:t>
            </w:r>
          </w:p>
        </w:tc>
        <w:tc>
          <w:tcPr/>
          <w:p>
            <w:pPr>
              <w:pStyle w:val="Compact"/>
            </w:pPr>
            <w:r>
              <w:t xml:space="preserve">Description</w:t>
            </w:r>
          </w:p>
        </w:tc>
        <w:tc>
          <w:tcPr/>
          <w:p>
            <w:pPr>
              <w:pStyle w:val="Compact"/>
            </w:pPr>
            <w:r>
              <w:t xml:space="preserve">Type</w:t>
            </w:r>
          </w:p>
        </w:tc>
        <w:tc>
          <w:tcPr/>
          <w:p>
            <w:pPr>
              <w:pStyle w:val="Compact"/>
            </w:pPr>
            <w:r>
              <w:t xml:space="preserve">Value(s)</w:t>
            </w:r>
          </w:p>
        </w:tc>
        <w:tc>
          <w:tcPr/>
          <w:p>
            <w:pPr>
              <w:pStyle w:val="Compact"/>
            </w:pPr>
            <w:r>
              <w:t xml:space="preserve">Applicable Products</w:t>
            </w:r>
          </w:p>
        </w:tc>
      </w:tr>
      <w:tr>
        <w:tc>
          <w:tcPr/>
          <w:p>
            <w:pPr>
              <w:pStyle w:val="Compact"/>
            </w:pPr>
            <w:r>
              <w:t xml:space="preserve">[OBJECTID]</w:t>
            </w:r>
          </w:p>
        </w:tc>
        <w:tc>
          <w:tcPr/>
          <w:p>
            <w:pPr>
              <w:pStyle w:val="Compact"/>
            </w:pPr>
            <w:r>
              <w:t xml:space="preserve">Dynamic Feature Identifier</w:t>
            </w:r>
          </w:p>
        </w:tc>
        <w:tc>
          <w:tcPr/>
          <w:p>
            <w:pPr>
              <w:pStyle w:val="Compact"/>
            </w:pPr>
            <w:r>
              <w:t xml:space="preserve">Object ID</w:t>
            </w:r>
          </w:p>
        </w:tc>
        <w:tc>
          <w:tcPr/>
          <w:p>
            <w:pPr>
              <w:pStyle w:val="Compact"/>
            </w:pPr>
            <w:r>
              <w:t xml:space="preserve">0 to 2.147.483.647</w:t>
            </w:r>
          </w:p>
        </w:tc>
        <w:tc>
          <w:tcPr/>
          <w:p>
            <w:pPr>
              <w:pStyle w:val="Compact"/>
            </w:pPr>
            <w:r>
              <w:t xml:space="preserve">Status, Change</w:t>
            </w:r>
          </w:p>
        </w:tc>
      </w:tr>
      <w:tr>
        <w:tc>
          <w:tcPr/>
          <w:p>
            <w:pPr>
              <w:pStyle w:val="Compact"/>
            </w:pPr>
            <w:r>
              <w:t xml:space="preserve">[Shape]</w:t>
            </w:r>
          </w:p>
        </w:tc>
        <w:tc>
          <w:tcPr/>
          <w:p>
            <w:pPr>
              <w:pStyle w:val="Compact"/>
            </w:pPr>
            <w:r>
              <w:t xml:space="preserve">Polygon (default by ESRI)</w:t>
            </w:r>
          </w:p>
        </w:tc>
        <w:tc>
          <w:tcPr/>
          <w:p>
            <w:pPr>
              <w:pStyle w:val="Compact"/>
            </w:pPr>
            <w:r>
              <w:t xml:space="preserve">Geometry</w:t>
            </w:r>
          </w:p>
        </w:tc>
        <w:tc>
          <w:tcPr/>
          <w:p>
            <w:pPr>
              <w:pStyle w:val="Compact"/>
            </w:pPr>
            <w:r>
              <w:t xml:space="preserve">Polygon</w:t>
            </w:r>
          </w:p>
        </w:tc>
        <w:tc>
          <w:tcPr/>
          <w:p>
            <w:pPr>
              <w:pStyle w:val="Compact"/>
            </w:pPr>
            <w:r>
              <w:t xml:space="preserve">Status, Change</w:t>
            </w:r>
          </w:p>
        </w:tc>
      </w:tr>
      <w:tr>
        <w:tc>
          <w:tcPr/>
          <w:p>
            <w:pPr>
              <w:pStyle w:val="Compact"/>
            </w:pPr>
            <w:r>
              <w:t xml:space="preserve">[UID]</w:t>
            </w:r>
          </w:p>
        </w:tc>
        <w:tc>
          <w:tcPr/>
          <w:p>
            <w:pPr>
              <w:pStyle w:val="Compact"/>
            </w:pPr>
            <w:r>
              <w:t xml:space="preserve">Unique Identifier of the feature geometry, generated as combination of OBJECTID and DeliveryUnit-ID in the form of</w:t>
            </w:r>
            <w:r>
              <w:t xml:space="preserve"> </w:t>
            </w:r>
            <w:r>
              <w:t xml:space="preserve">“ID_OBJECTID+1”</w:t>
            </w:r>
          </w:p>
        </w:tc>
        <w:tc>
          <w:tcPr/>
          <w:p>
            <w:pPr>
              <w:pStyle w:val="Compact"/>
            </w:pPr>
            <w:r>
              <w:t xml:space="preserve">String, Length 20</w:t>
            </w:r>
          </w:p>
        </w:tc>
        <w:tc>
          <w:tcPr/>
          <w:p>
            <w:pPr>
              <w:pStyle w:val="Compact"/>
            </w:pPr>
            <w:r>
              <w:t xml:space="preserve">Starting from 1_1</w:t>
            </w:r>
          </w:p>
        </w:tc>
        <w:tc>
          <w:tcPr/>
          <w:p>
            <w:pPr>
              <w:pStyle w:val="Compact"/>
            </w:pPr>
            <w:r>
              <w:t xml:space="preserve">Status, Change</w:t>
            </w:r>
          </w:p>
        </w:tc>
      </w:tr>
      <w:tr>
        <w:tc>
          <w:tcPr/>
          <w:p>
            <w:pPr>
              <w:pStyle w:val="Compact"/>
            </w:pPr>
            <w:r>
              <w:t xml:space="preserve">[CODE_1_18]</w:t>
            </w:r>
          </w:p>
        </w:tc>
        <w:tc>
          <w:tcPr/>
          <w:p>
            <w:pPr>
              <w:pStyle w:val="Compact"/>
            </w:pPr>
            <w:r>
              <w:t xml:space="preserve">Class code of LC/LU Level 1 for LC/LU 2018</w:t>
            </w:r>
          </w:p>
        </w:tc>
        <w:tc>
          <w:tcPr/>
          <w:p>
            <w:pPr>
              <w:pStyle w:val="Compact"/>
            </w:pPr>
            <w:r>
              <w:t xml:space="preserve">Long, Precision 9</w:t>
            </w:r>
          </w:p>
        </w:tc>
        <w:tc>
          <w:tcPr/>
          <w:p>
            <w:pPr>
              <w:pStyle w:val="Compact"/>
            </w:pPr>
            <w:r>
              <w:t xml:space="preserve">1 to 10</w:t>
            </w:r>
          </w:p>
        </w:tc>
        <w:tc>
          <w:tcPr/>
          <w:p>
            <w:pPr>
              <w:pStyle w:val="Compact"/>
            </w:pPr>
            <w:r>
              <w:t xml:space="preserve">Status, Change</w:t>
            </w:r>
          </w:p>
        </w:tc>
      </w:tr>
      <w:tr>
        <w:tc>
          <w:tcPr/>
          <w:p>
            <w:pPr>
              <w:pStyle w:val="Compact"/>
            </w:pPr>
            <w:r>
              <w:t xml:space="preserve">[CODE_2_18]</w:t>
            </w:r>
          </w:p>
        </w:tc>
        <w:tc>
          <w:tcPr/>
          <w:p>
            <w:pPr>
              <w:pStyle w:val="Compact"/>
            </w:pPr>
            <w:r>
              <w:t xml:space="preserve">Class code of LC/LU Level 2 for LC/LU 2018</w:t>
            </w:r>
          </w:p>
        </w:tc>
        <w:tc>
          <w:tcPr/>
          <w:p>
            <w:pPr>
              <w:pStyle w:val="Compact"/>
            </w:pPr>
            <w:r>
              <w:t xml:space="preserve">Long, Precision 9</w:t>
            </w:r>
          </w:p>
        </w:tc>
        <w:tc>
          <w:tcPr/>
          <w:p>
            <w:pPr>
              <w:pStyle w:val="Compact"/>
            </w:pPr>
            <w:r>
              <w:t xml:space="preserve">11 to 101</w:t>
            </w:r>
          </w:p>
        </w:tc>
        <w:tc>
          <w:tcPr/>
          <w:p>
            <w:pPr>
              <w:pStyle w:val="Compact"/>
            </w:pPr>
            <w:r>
              <w:t xml:space="preserve">Status, Change</w:t>
            </w:r>
          </w:p>
        </w:tc>
      </w:tr>
      <w:tr>
        <w:tc>
          <w:tcPr/>
          <w:p>
            <w:pPr>
              <w:pStyle w:val="Compact"/>
            </w:pPr>
            <w:r>
              <w:t xml:space="preserve">[CODE_3_18]</w:t>
            </w:r>
          </w:p>
        </w:tc>
        <w:tc>
          <w:tcPr/>
          <w:p>
            <w:pPr>
              <w:pStyle w:val="Compact"/>
            </w:pPr>
            <w:r>
              <w:t xml:space="preserve">Class code of LC/LU Level 3 for LC/LU 2018</w:t>
            </w:r>
          </w:p>
        </w:tc>
        <w:tc>
          <w:tcPr/>
          <w:p>
            <w:pPr>
              <w:pStyle w:val="Compact"/>
            </w:pPr>
            <w:r>
              <w:t xml:space="preserve">Long, Precision 9</w:t>
            </w:r>
          </w:p>
        </w:tc>
        <w:tc>
          <w:tcPr/>
          <w:p>
            <w:pPr>
              <w:pStyle w:val="Compact"/>
            </w:pPr>
            <w:r>
              <w:t xml:space="preserve">111 to 1011</w:t>
            </w:r>
          </w:p>
        </w:tc>
        <w:tc>
          <w:tcPr/>
          <w:p>
            <w:pPr>
              <w:pStyle w:val="Compact"/>
            </w:pPr>
            <w:r>
              <w:t xml:space="preserve">Status, Change</w:t>
            </w:r>
          </w:p>
        </w:tc>
      </w:tr>
      <w:tr>
        <w:tc>
          <w:tcPr/>
          <w:p>
            <w:pPr>
              <w:pStyle w:val="Compact"/>
            </w:pPr>
            <w:r>
              <w:t xml:space="preserve">[CODE_4_18]</w:t>
            </w:r>
          </w:p>
        </w:tc>
        <w:tc>
          <w:tcPr/>
          <w:p>
            <w:pPr>
              <w:pStyle w:val="Compact"/>
            </w:pPr>
            <w:r>
              <w:t xml:space="preserve">Class code of LC/LU Level 4 for LC/LU 2018</w:t>
            </w:r>
          </w:p>
        </w:tc>
        <w:tc>
          <w:tcPr/>
          <w:p>
            <w:pPr>
              <w:pStyle w:val="Compact"/>
            </w:pPr>
            <w:r>
              <w:t xml:space="preserve">Long, Precision 9</w:t>
            </w:r>
          </w:p>
        </w:tc>
        <w:tc>
          <w:tcPr/>
          <w:p>
            <w:pPr>
              <w:pStyle w:val="Compact"/>
            </w:pPr>
            <w:r>
              <w:t xml:space="preserve">1111 to 10111</w:t>
            </w:r>
          </w:p>
        </w:tc>
        <w:tc>
          <w:tcPr/>
          <w:p>
            <w:pPr>
              <w:pStyle w:val="Compact"/>
            </w:pPr>
            <w:r>
              <w:t xml:space="preserve">Status, Change</w:t>
            </w:r>
          </w:p>
        </w:tc>
      </w:tr>
      <w:tr>
        <w:tc>
          <w:tcPr/>
          <w:p>
            <w:pPr>
              <w:pStyle w:val="Compact"/>
            </w:pPr>
            <w:r>
              <w:t xml:space="preserve">[COMMENT_18]</w:t>
            </w:r>
          </w:p>
        </w:tc>
        <w:tc>
          <w:tcPr/>
          <w:p>
            <w:pPr>
              <w:pStyle w:val="Compact"/>
            </w:pPr>
            <w:r>
              <w:t xml:space="preserve">Comment field for additional information for LC/LU 2018</w:t>
            </w:r>
          </w:p>
        </w:tc>
        <w:tc>
          <w:tcPr/>
          <w:p>
            <w:pPr>
              <w:pStyle w:val="Compact"/>
            </w:pPr>
            <w:r>
              <w:t xml:space="preserve">String, Length 254</w:t>
            </w:r>
          </w:p>
        </w:tc>
        <w:tc>
          <w:tcPr/>
          <w:p>
            <w:pPr>
              <w:pStyle w:val="Compact"/>
            </w:pPr>
            <w:r>
              <w:t xml:space="preserve">Standardized text comments, separated by Semicolon</w:t>
            </w:r>
          </w:p>
        </w:tc>
        <w:tc>
          <w:tcPr/>
          <w:p>
            <w:pPr>
              <w:pStyle w:val="Compact"/>
            </w:pPr>
            <w:r>
              <w:t xml:space="preserve">Status</w:t>
            </w:r>
          </w:p>
        </w:tc>
      </w:tr>
      <w:tr>
        <w:tc>
          <w:tcPr/>
          <w:p>
            <w:pPr>
              <w:pStyle w:val="Compact"/>
            </w:pPr>
            <w:r>
              <w:t xml:space="preserve">[NODATA_18]</w:t>
            </w:r>
          </w:p>
        </w:tc>
        <w:tc>
          <w:tcPr/>
          <w:p>
            <w:pPr>
              <w:pStyle w:val="Compact"/>
            </w:pPr>
            <w:r>
              <w:t xml:space="preserve">Unclassifiable area due to clouds, shadows, snow, haze or missing data (no satellite data available)</w:t>
            </w:r>
          </w:p>
        </w:tc>
        <w:tc>
          <w:tcPr/>
          <w:p>
            <w:pPr>
              <w:pStyle w:val="Compact"/>
            </w:pPr>
            <w:r>
              <w:t xml:space="preserve">Long, Precision 9</w:t>
            </w:r>
          </w:p>
        </w:tc>
        <w:tc>
          <w:tcPr/>
          <w:p>
            <w:pPr>
              <w:pStyle w:val="Compact"/>
            </w:pPr>
            <w:r>
              <w:t xml:space="preserve">0,1</w:t>
            </w:r>
          </w:p>
        </w:tc>
        <w:tc>
          <w:tcPr/>
          <w:p>
            <w:pPr>
              <w:pStyle w:val="Compact"/>
            </w:pPr>
            <w:r>
              <w:t xml:space="preserve">Status, Change</w:t>
            </w:r>
          </w:p>
        </w:tc>
      </w:tr>
      <w:tr>
        <w:tc>
          <w:tcPr/>
          <w:p>
            <w:pPr>
              <w:pStyle w:val="Compact"/>
            </w:pPr>
            <w:r>
              <w:t xml:space="preserve">[CODE_1_12]</w:t>
            </w:r>
          </w:p>
        </w:tc>
        <w:tc>
          <w:tcPr/>
          <w:p>
            <w:pPr>
              <w:pStyle w:val="Compact"/>
            </w:pPr>
            <w:r>
              <w:t xml:space="preserve">Class code of LC/LU Level 1 for LC/LU 2012</w:t>
            </w:r>
          </w:p>
        </w:tc>
        <w:tc>
          <w:tcPr/>
          <w:p>
            <w:pPr>
              <w:pStyle w:val="Compact"/>
            </w:pPr>
            <w:r>
              <w:t xml:space="preserve">Long, Precision 9</w:t>
            </w:r>
          </w:p>
        </w:tc>
        <w:tc>
          <w:tcPr/>
          <w:p>
            <w:pPr>
              <w:pStyle w:val="Compact"/>
            </w:pPr>
            <w:r>
              <w:t xml:space="preserve">1 to 10</w:t>
            </w:r>
          </w:p>
        </w:tc>
        <w:tc>
          <w:tcPr/>
          <w:p>
            <w:pPr>
              <w:pStyle w:val="Compact"/>
            </w:pPr>
            <w:r>
              <w:t xml:space="preserve">Status, Change</w:t>
            </w:r>
          </w:p>
        </w:tc>
      </w:tr>
      <w:tr>
        <w:tc>
          <w:tcPr/>
          <w:p>
            <w:pPr>
              <w:pStyle w:val="Compact"/>
            </w:pPr>
            <w:r>
              <w:t xml:space="preserve">[CODE_2_12]</w:t>
            </w:r>
          </w:p>
        </w:tc>
        <w:tc>
          <w:tcPr/>
          <w:p>
            <w:pPr>
              <w:pStyle w:val="Compact"/>
            </w:pPr>
            <w:r>
              <w:t xml:space="preserve">Class code of LC/LU Level 2 for LC/LU 2012</w:t>
            </w:r>
          </w:p>
        </w:tc>
        <w:tc>
          <w:tcPr/>
          <w:p>
            <w:pPr>
              <w:pStyle w:val="Compact"/>
            </w:pPr>
            <w:r>
              <w:t xml:space="preserve">Long, Precision 9</w:t>
            </w:r>
          </w:p>
        </w:tc>
        <w:tc>
          <w:tcPr/>
          <w:p>
            <w:pPr>
              <w:pStyle w:val="Compact"/>
            </w:pPr>
            <w:r>
              <w:t xml:space="preserve">11 to 101</w:t>
            </w:r>
          </w:p>
        </w:tc>
        <w:tc>
          <w:tcPr/>
          <w:p>
            <w:pPr>
              <w:pStyle w:val="Compact"/>
            </w:pPr>
            <w:r>
              <w:t xml:space="preserve">Status, Change</w:t>
            </w:r>
          </w:p>
        </w:tc>
      </w:tr>
      <w:tr>
        <w:tc>
          <w:tcPr/>
          <w:p>
            <w:pPr>
              <w:pStyle w:val="Compact"/>
            </w:pPr>
            <w:r>
              <w:t xml:space="preserve">[CODE_3_12]</w:t>
            </w:r>
          </w:p>
        </w:tc>
        <w:tc>
          <w:tcPr/>
          <w:p>
            <w:pPr>
              <w:pStyle w:val="Compact"/>
            </w:pPr>
            <w:r>
              <w:t xml:space="preserve">Class code of LC/LU Level 3 for LC/LU 2012</w:t>
            </w:r>
          </w:p>
        </w:tc>
        <w:tc>
          <w:tcPr/>
          <w:p>
            <w:pPr>
              <w:pStyle w:val="Compact"/>
            </w:pPr>
            <w:r>
              <w:t xml:space="preserve">Long, Precision 9</w:t>
            </w:r>
          </w:p>
        </w:tc>
        <w:tc>
          <w:tcPr/>
          <w:p>
            <w:pPr>
              <w:pStyle w:val="Compact"/>
            </w:pPr>
            <w:r>
              <w:t xml:space="preserve">111 to 1011</w:t>
            </w:r>
          </w:p>
        </w:tc>
        <w:tc>
          <w:tcPr/>
          <w:p>
            <w:pPr>
              <w:pStyle w:val="Compact"/>
            </w:pPr>
            <w:r>
              <w:t xml:space="preserve">Status, Change</w:t>
            </w:r>
          </w:p>
        </w:tc>
      </w:tr>
      <w:tr>
        <w:tc>
          <w:tcPr/>
          <w:p>
            <w:pPr>
              <w:pStyle w:val="Compact"/>
            </w:pPr>
            <w:r>
              <w:t xml:space="preserve">[CODE_4_12]</w:t>
            </w:r>
          </w:p>
        </w:tc>
        <w:tc>
          <w:tcPr/>
          <w:p>
            <w:pPr>
              <w:pStyle w:val="Compact"/>
            </w:pPr>
            <w:r>
              <w:t xml:space="preserve">Class code of LC/LU Level 4 for LC/LU 2012</w:t>
            </w:r>
          </w:p>
        </w:tc>
        <w:tc>
          <w:tcPr/>
          <w:p>
            <w:pPr>
              <w:pStyle w:val="Compact"/>
            </w:pPr>
            <w:r>
              <w:t xml:space="preserve">Long, Precision 9</w:t>
            </w:r>
          </w:p>
        </w:tc>
        <w:tc>
          <w:tcPr/>
          <w:p>
            <w:pPr>
              <w:pStyle w:val="Compact"/>
            </w:pPr>
            <w:r>
              <w:t xml:space="preserve">1111 to 10111</w:t>
            </w:r>
          </w:p>
        </w:tc>
        <w:tc>
          <w:tcPr/>
          <w:p>
            <w:pPr>
              <w:pStyle w:val="Compact"/>
            </w:pPr>
            <w:r>
              <w:t xml:space="preserve">Status, Change</w:t>
            </w:r>
          </w:p>
        </w:tc>
      </w:tr>
      <w:tr>
        <w:tc>
          <w:tcPr/>
          <w:p>
            <w:pPr>
              <w:pStyle w:val="Compact"/>
            </w:pPr>
            <w:r>
              <w:t xml:space="preserve">[COMMENT_12]</w:t>
            </w:r>
          </w:p>
        </w:tc>
        <w:tc>
          <w:tcPr/>
          <w:p>
            <w:pPr>
              <w:pStyle w:val="Compact"/>
            </w:pPr>
            <w:r>
              <w:t xml:space="preserve">Comment field for additional information for LC/LU 2012</w:t>
            </w:r>
          </w:p>
        </w:tc>
        <w:tc>
          <w:tcPr/>
          <w:p>
            <w:pPr>
              <w:pStyle w:val="Compact"/>
            </w:pPr>
            <w:r>
              <w:t xml:space="preserve">String, Length 254</w:t>
            </w:r>
          </w:p>
        </w:tc>
        <w:tc>
          <w:tcPr/>
          <w:p>
            <w:pPr>
              <w:pStyle w:val="Compact"/>
            </w:pPr>
            <w:r>
              <w:t xml:space="preserve">Standardized text comments, separated by Semicolon</w:t>
            </w:r>
          </w:p>
        </w:tc>
        <w:tc>
          <w:tcPr/>
          <w:p>
            <w:pPr>
              <w:pStyle w:val="Compact"/>
            </w:pPr>
            <w:r>
              <w:t xml:space="preserve">Status</w:t>
            </w:r>
          </w:p>
        </w:tc>
      </w:tr>
      <w:tr>
        <w:tc>
          <w:tcPr/>
          <w:p>
            <w:pPr>
              <w:pStyle w:val="Compact"/>
            </w:pPr>
            <w:r>
              <w:t xml:space="preserve">[NODATA_12]</w:t>
            </w:r>
          </w:p>
        </w:tc>
        <w:tc>
          <w:tcPr/>
          <w:p>
            <w:pPr>
              <w:pStyle w:val="Compact"/>
            </w:pPr>
            <w:r>
              <w:t xml:space="preserve">Unclassifiable area due to clouds, shadows, snow, haze or missing data (no satellite data available)</w:t>
            </w:r>
          </w:p>
        </w:tc>
        <w:tc>
          <w:tcPr/>
          <w:p>
            <w:pPr>
              <w:pStyle w:val="Compact"/>
            </w:pPr>
            <w:r>
              <w:t xml:space="preserve">Long, Precision 9</w:t>
            </w:r>
          </w:p>
        </w:tc>
        <w:tc>
          <w:tcPr/>
          <w:p>
            <w:pPr>
              <w:pStyle w:val="Compact"/>
            </w:pPr>
            <w:r>
              <w:t xml:space="preserve">0,1</w:t>
            </w:r>
          </w:p>
        </w:tc>
        <w:tc>
          <w:tcPr/>
          <w:p>
            <w:pPr>
              <w:pStyle w:val="Compact"/>
            </w:pPr>
            <w:r>
              <w:t xml:space="preserve">Status, Change</w:t>
            </w:r>
          </w:p>
        </w:tc>
      </w:tr>
      <w:tr>
        <w:tc>
          <w:tcPr/>
          <w:p>
            <w:pPr>
              <w:pStyle w:val="Compact"/>
            </w:pPr>
            <w:r>
              <w:t xml:space="preserve">[CODE_1_06]</w:t>
            </w:r>
          </w:p>
        </w:tc>
        <w:tc>
          <w:tcPr/>
          <w:p>
            <w:pPr>
              <w:pStyle w:val="Compact"/>
            </w:pPr>
            <w:r>
              <w:t xml:space="preserve">Class code of LC/LU Level 1 for LC/LU 2006</w:t>
            </w:r>
          </w:p>
        </w:tc>
        <w:tc>
          <w:tcPr/>
          <w:p>
            <w:pPr>
              <w:pStyle w:val="Compact"/>
            </w:pPr>
            <w:r>
              <w:t xml:space="preserve">Long, Precision 9</w:t>
            </w:r>
          </w:p>
        </w:tc>
        <w:tc>
          <w:tcPr/>
          <w:p>
            <w:pPr>
              <w:pStyle w:val="Compact"/>
            </w:pPr>
            <w:r>
              <w:t xml:space="preserve">1 to 10</w:t>
            </w:r>
          </w:p>
        </w:tc>
        <w:tc>
          <w:tcPr/>
          <w:p>
            <w:pPr>
              <w:pStyle w:val="Compact"/>
            </w:pPr>
            <w:r>
              <w:t xml:space="preserve">Status, Change</w:t>
            </w:r>
          </w:p>
        </w:tc>
      </w:tr>
      <w:tr>
        <w:tc>
          <w:tcPr/>
          <w:p>
            <w:pPr>
              <w:pStyle w:val="Compact"/>
            </w:pPr>
            <w:r>
              <w:t xml:space="preserve">[CODE_2_06]</w:t>
            </w:r>
          </w:p>
        </w:tc>
        <w:tc>
          <w:tcPr/>
          <w:p>
            <w:pPr>
              <w:pStyle w:val="Compact"/>
            </w:pPr>
            <w:r>
              <w:t xml:space="preserve">Class code of LC/LU Level 2 for LC/LU 2006</w:t>
            </w:r>
          </w:p>
        </w:tc>
        <w:tc>
          <w:tcPr/>
          <w:p>
            <w:pPr>
              <w:pStyle w:val="Compact"/>
            </w:pPr>
            <w:r>
              <w:t xml:space="preserve">Long, Precision 9</w:t>
            </w:r>
          </w:p>
        </w:tc>
        <w:tc>
          <w:tcPr/>
          <w:p>
            <w:pPr>
              <w:pStyle w:val="Compact"/>
            </w:pPr>
            <w:r>
              <w:t xml:space="preserve">11 to 101</w:t>
            </w:r>
          </w:p>
        </w:tc>
        <w:tc>
          <w:tcPr/>
          <w:p>
            <w:pPr>
              <w:pStyle w:val="Compact"/>
            </w:pPr>
            <w:r>
              <w:t xml:space="preserve">Status, Change</w:t>
            </w:r>
          </w:p>
        </w:tc>
      </w:tr>
      <w:tr>
        <w:tc>
          <w:tcPr/>
          <w:p>
            <w:pPr>
              <w:pStyle w:val="Compact"/>
            </w:pPr>
            <w:r>
              <w:t xml:space="preserve">[CODE_3_06]</w:t>
            </w:r>
          </w:p>
        </w:tc>
        <w:tc>
          <w:tcPr/>
          <w:p>
            <w:pPr>
              <w:pStyle w:val="Compact"/>
            </w:pPr>
            <w:r>
              <w:t xml:space="preserve">Class code of LC/LU Level 3 for LC/LU 2006</w:t>
            </w:r>
          </w:p>
        </w:tc>
        <w:tc>
          <w:tcPr/>
          <w:p>
            <w:pPr>
              <w:pStyle w:val="Compact"/>
            </w:pPr>
            <w:r>
              <w:t xml:space="preserve">Long, Precision 9</w:t>
            </w:r>
          </w:p>
        </w:tc>
        <w:tc>
          <w:tcPr/>
          <w:p>
            <w:pPr>
              <w:pStyle w:val="Compact"/>
            </w:pPr>
            <w:r>
              <w:t xml:space="preserve">111 to 1011</w:t>
            </w:r>
          </w:p>
        </w:tc>
        <w:tc>
          <w:tcPr/>
          <w:p>
            <w:pPr>
              <w:pStyle w:val="Compact"/>
            </w:pPr>
            <w:r>
              <w:t xml:space="preserve">Status, Change</w:t>
            </w:r>
          </w:p>
        </w:tc>
      </w:tr>
      <w:tr>
        <w:tc>
          <w:tcPr/>
          <w:p>
            <w:pPr>
              <w:pStyle w:val="Compact"/>
            </w:pPr>
            <w:r>
              <w:t xml:space="preserve">[CODE_4_06]</w:t>
            </w:r>
          </w:p>
        </w:tc>
        <w:tc>
          <w:tcPr/>
          <w:p>
            <w:pPr>
              <w:pStyle w:val="Compact"/>
            </w:pPr>
            <w:r>
              <w:t xml:space="preserve">Class code of LC/LU Level 4 for LC/LU 2006</w:t>
            </w:r>
          </w:p>
        </w:tc>
        <w:tc>
          <w:tcPr/>
          <w:p>
            <w:pPr>
              <w:pStyle w:val="Compact"/>
            </w:pPr>
            <w:r>
              <w:t xml:space="preserve">Long, Precision 9</w:t>
            </w:r>
          </w:p>
        </w:tc>
        <w:tc>
          <w:tcPr/>
          <w:p>
            <w:pPr>
              <w:pStyle w:val="Compact"/>
            </w:pPr>
            <w:r>
              <w:t xml:space="preserve">1111 to 10111</w:t>
            </w:r>
          </w:p>
        </w:tc>
        <w:tc>
          <w:tcPr/>
          <w:p>
            <w:pPr>
              <w:pStyle w:val="Compact"/>
            </w:pPr>
            <w:r>
              <w:t xml:space="preserve">Status, Change</w:t>
            </w:r>
          </w:p>
        </w:tc>
      </w:tr>
      <w:tr>
        <w:tc>
          <w:tcPr/>
          <w:p>
            <w:pPr>
              <w:pStyle w:val="Compact"/>
            </w:pPr>
            <w:r>
              <w:t xml:space="preserve">[COMMENT_06]</w:t>
            </w:r>
          </w:p>
        </w:tc>
        <w:tc>
          <w:tcPr/>
          <w:p>
            <w:pPr>
              <w:pStyle w:val="Compact"/>
            </w:pPr>
            <w:r>
              <w:t xml:space="preserve">Comment field for additional information for LC/LU 2006</w:t>
            </w:r>
          </w:p>
        </w:tc>
        <w:tc>
          <w:tcPr/>
          <w:p>
            <w:pPr>
              <w:pStyle w:val="Compact"/>
            </w:pPr>
            <w:r>
              <w:t xml:space="preserve">String, Length 254</w:t>
            </w:r>
          </w:p>
        </w:tc>
        <w:tc>
          <w:tcPr/>
          <w:p>
            <w:pPr>
              <w:pStyle w:val="Compact"/>
            </w:pPr>
            <w:r>
              <w:t xml:space="preserve">Standardized text comments, separated by Semicolon</w:t>
            </w:r>
          </w:p>
        </w:tc>
        <w:tc>
          <w:tcPr/>
          <w:p>
            <w:pPr>
              <w:pStyle w:val="Compact"/>
            </w:pPr>
            <w:r>
              <w:t xml:space="preserve">Status</w:t>
            </w:r>
          </w:p>
        </w:tc>
      </w:tr>
      <w:tr>
        <w:tc>
          <w:tcPr/>
          <w:p>
            <w:pPr>
              <w:pStyle w:val="Compact"/>
            </w:pPr>
            <w:r>
              <w:t xml:space="preserve">[NODATA_06]</w:t>
            </w:r>
          </w:p>
        </w:tc>
        <w:tc>
          <w:tcPr/>
          <w:p>
            <w:pPr>
              <w:pStyle w:val="Compact"/>
            </w:pPr>
            <w:r>
              <w:t xml:space="preserve">Unclassifiable area due to clouds, shadows, snow, haze or missing data (no satellite data available)</w:t>
            </w:r>
          </w:p>
        </w:tc>
        <w:tc>
          <w:tcPr/>
          <w:p>
            <w:pPr>
              <w:pStyle w:val="Compact"/>
            </w:pPr>
            <w:r>
              <w:t xml:space="preserve">Long, Precision 9</w:t>
            </w:r>
          </w:p>
        </w:tc>
        <w:tc>
          <w:tcPr/>
          <w:p>
            <w:pPr>
              <w:pStyle w:val="Compact"/>
            </w:pPr>
            <w:r>
              <w:t xml:space="preserve">0,1</w:t>
            </w:r>
          </w:p>
        </w:tc>
        <w:tc>
          <w:tcPr/>
          <w:p>
            <w:pPr>
              <w:pStyle w:val="Compact"/>
            </w:pPr>
            <w:r>
              <w:t xml:space="preserve">Status, Change</w:t>
            </w:r>
          </w:p>
        </w:tc>
      </w:tr>
      <w:tr>
        <w:tc>
          <w:tcPr/>
          <w:p>
            <w:pPr>
              <w:pStyle w:val="Compact"/>
            </w:pPr>
            <w:r>
              <w:t xml:space="preserve">[CHANGECODE]</w:t>
            </w:r>
          </w:p>
        </w:tc>
        <w:tc>
          <w:tcPr/>
          <w:p>
            <w:pPr>
              <w:pStyle w:val="Compact"/>
            </w:pPr>
            <w:r>
              <w:t xml:space="preserve">Change Class code of LC/LU Level 4 for LC/LU 2006–2012 (</w:t>
            </w:r>
            <w:r>
              <w:rPr>
                <w:i/>
                <w:iCs/>
              </w:rPr>
              <w:t xml:space="preserve">CODE_4_06_CODE_4_12</w:t>
            </w:r>
            <w:r>
              <w:t xml:space="preserve">) or 2012–2018 (</w:t>
            </w:r>
            <w:r>
              <w:rPr>
                <w:i/>
                <w:iCs/>
              </w:rPr>
              <w:t xml:space="preserve">CODE_4_12_CODE_4_18</w:t>
            </w:r>
            <w:r>
              <w:t xml:space="preserve">)</w:t>
            </w:r>
          </w:p>
        </w:tc>
        <w:tc>
          <w:tcPr/>
          <w:p>
            <w:pPr>
              <w:pStyle w:val="Compact"/>
            </w:pPr>
            <w:r>
              <w:t xml:space="preserve">String, Length 11</w:t>
            </w:r>
          </w:p>
        </w:tc>
        <w:tc>
          <w:tcPr/>
          <w:p>
            <w:pPr>
              <w:pStyle w:val="Compact"/>
            </w:pPr>
            <w:r>
              <w:t xml:space="preserve">1111_1111 to 10111_10111</w:t>
            </w:r>
          </w:p>
        </w:tc>
        <w:tc>
          <w:tcPr/>
          <w:p>
            <w:pPr>
              <w:pStyle w:val="Compact"/>
            </w:pPr>
            <w:r>
              <w:t xml:space="preserve">Change</w:t>
            </w:r>
          </w:p>
        </w:tc>
      </w:tr>
      <w:tr>
        <w:tc>
          <w:tcPr/>
          <w:p>
            <w:pPr>
              <w:pStyle w:val="Compact"/>
            </w:pPr>
            <w:r>
              <w:t xml:space="preserve">[COMMENT]</w:t>
            </w:r>
          </w:p>
        </w:tc>
        <w:tc>
          <w:tcPr/>
          <w:p>
            <w:pPr>
              <w:pStyle w:val="Compact"/>
            </w:pPr>
            <w:r>
              <w:t xml:space="preserve">Comment field for additional information for change products LC/LU 2006–2012, 2012–2018</w:t>
            </w:r>
          </w:p>
        </w:tc>
        <w:tc>
          <w:tcPr/>
          <w:p>
            <w:pPr>
              <w:pStyle w:val="Compact"/>
            </w:pPr>
            <w:r>
              <w:t xml:space="preserve">String, Length 254</w:t>
            </w:r>
          </w:p>
        </w:tc>
        <w:tc>
          <w:tcPr/>
          <w:p>
            <w:pPr>
              <w:pStyle w:val="Compact"/>
            </w:pPr>
            <w:r>
              <w:t xml:space="preserve">Standardized text comments, separated by Semicolon</w:t>
            </w:r>
          </w:p>
        </w:tc>
        <w:tc>
          <w:tcPr/>
          <w:p>
            <w:pPr>
              <w:pStyle w:val="Compact"/>
            </w:pPr>
            <w:r>
              <w:t xml:space="preserve">Change</w:t>
            </w:r>
          </w:p>
        </w:tc>
      </w:tr>
      <w:tr>
        <w:tc>
          <w:tcPr/>
          <w:p>
            <w:pPr>
              <w:pStyle w:val="Compact"/>
            </w:pPr>
            <w:r>
              <w:t xml:space="preserve">[AREA_HA]</w:t>
            </w:r>
          </w:p>
        </w:tc>
        <w:tc>
          <w:tcPr/>
          <w:p>
            <w:pPr>
              <w:pStyle w:val="Compact"/>
            </w:pPr>
            <w:r>
              <w:t xml:space="preserve">Area in hectare [ha]</w:t>
            </w:r>
          </w:p>
        </w:tc>
        <w:tc>
          <w:tcPr/>
          <w:p>
            <w:pPr>
              <w:pStyle w:val="Compact"/>
            </w:pPr>
            <w:r>
              <w:t xml:space="preserve">Double</w:t>
            </w:r>
          </w:p>
        </w:tc>
        <w:tc>
          <w:tcPr/>
          <w:p>
            <w:pPr>
              <w:pStyle w:val="Compact"/>
            </w:pPr>
            <w:r>
              <w:t xml:space="preserve">0.001 to 1.8E308</w:t>
            </w:r>
          </w:p>
        </w:tc>
        <w:tc>
          <w:tcPr/>
          <w:p>
            <w:pPr>
              <w:pStyle w:val="Compact"/>
            </w:pPr>
            <w:r>
              <w:t xml:space="preserve">Status, Change</w:t>
            </w:r>
          </w:p>
        </w:tc>
      </w:tr>
    </w:tbl>
    <w:p>
      <w:pPr>
        <w:pStyle w:val="BodyText"/>
      </w:pPr>
      <w:r>
        <w:t xml:space="preserve"> </w:t>
      </w:r>
    </w:p>
    <w:p>
      <w:pPr>
        <w:pStyle w:val="TableCaption"/>
      </w:pPr>
      <w:r>
        <w:t xml:space="preserve">Table 8: Product attribute definition for the table LC_LU (GeoPackage .gpkg representation)</w:t>
      </w:r>
    </w:p>
    <w:tbl>
      <w:tblPr>
        <w:tblStyle w:val="Table"/>
        <w:tblW w:type="pct" w:w="5000"/>
        <w:tblLayout w:type="fixed"/>
        <w:tblLook w:firstRow="1" w:lastRow="0" w:firstColumn="0" w:lastColumn="0" w:noHBand="0" w:noVBand="0" w:val="0020"/>
        <w:tblCaption w:val="Table 8: Product attribute definition for the table LC_LU (GeoPackage .gpkg representation)"/>
      </w:tblPr>
      <w:tblGrid>
        <w:gridCol w:w="563"/>
        <w:gridCol w:w="4838"/>
        <w:gridCol w:w="695"/>
        <w:gridCol w:w="1159"/>
        <w:gridCol w:w="662"/>
      </w:tblGrid>
      <w:tr>
        <w:trPr>
          <w:tblHeader w:val="on"/>
        </w:trPr>
        <w:tc>
          <w:tcPr/>
          <w:p>
            <w:pPr>
              <w:pStyle w:val="Compact"/>
            </w:pPr>
            <w:r>
              <w:t xml:space="preserve">Field</w:t>
            </w:r>
          </w:p>
        </w:tc>
        <w:tc>
          <w:tcPr/>
          <w:p>
            <w:pPr>
              <w:pStyle w:val="Compact"/>
            </w:pPr>
            <w:r>
              <w:t xml:space="preserve">Description</w:t>
            </w:r>
          </w:p>
        </w:tc>
        <w:tc>
          <w:tcPr/>
          <w:p>
            <w:pPr>
              <w:pStyle w:val="Compact"/>
            </w:pPr>
            <w:r>
              <w:t xml:space="preserve">Type</w:t>
            </w:r>
          </w:p>
        </w:tc>
        <w:tc>
          <w:tcPr/>
          <w:p>
            <w:pPr>
              <w:pStyle w:val="Compact"/>
            </w:pPr>
            <w:r>
              <w:t xml:space="preserve">Value(s)</w:t>
            </w:r>
          </w:p>
        </w:tc>
        <w:tc>
          <w:tcPr/>
          <w:p>
            <w:pPr>
              <w:pStyle w:val="Compact"/>
            </w:pPr>
            <w:r>
              <w:t xml:space="preserve">Status, Change</w:t>
            </w:r>
          </w:p>
        </w:tc>
      </w:tr>
      <w:tr>
        <w:tc>
          <w:tcPr/>
          <w:p>
            <w:pPr>
              <w:pStyle w:val="Compact"/>
            </w:pPr>
            <w:r>
              <w:t xml:space="preserve">[OBJECTID]</w:t>
            </w:r>
          </w:p>
        </w:tc>
        <w:tc>
          <w:tcPr/>
          <w:p>
            <w:pPr>
              <w:pStyle w:val="Compact"/>
            </w:pPr>
            <w:r>
              <w:t xml:space="preserve">Dynamic Feature Identifier</w:t>
            </w:r>
          </w:p>
        </w:tc>
        <w:tc>
          <w:tcPr/>
          <w:p>
            <w:pPr>
              <w:pStyle w:val="Compact"/>
            </w:pPr>
            <w:r>
              <w:t xml:space="preserve">Object ID</w:t>
            </w:r>
          </w:p>
        </w:tc>
        <w:tc>
          <w:tcPr/>
          <w:p>
            <w:pPr>
              <w:pStyle w:val="Compact"/>
            </w:pPr>
            <w:r>
              <w:t xml:space="preserve">0 to 2.147.483.647</w:t>
            </w:r>
          </w:p>
        </w:tc>
        <w:tc>
          <w:tcPr/>
          <w:p>
            <w:pPr>
              <w:pStyle w:val="Compact"/>
            </w:pPr>
            <w:r>
              <w:t xml:space="preserve">Status, Change</w:t>
            </w:r>
          </w:p>
        </w:tc>
      </w:tr>
      <w:tr>
        <w:tc>
          <w:tcPr/>
          <w:p>
            <w:pPr>
              <w:pStyle w:val="Compact"/>
            </w:pPr>
            <w:r>
              <w:t xml:space="preserve">[Shape]</w:t>
            </w:r>
          </w:p>
        </w:tc>
        <w:tc>
          <w:tcPr/>
          <w:p>
            <w:pPr>
              <w:pStyle w:val="Compact"/>
            </w:pPr>
            <w:r>
              <w:t xml:space="preserve">Polygon (default by ESRI)</w:t>
            </w:r>
          </w:p>
        </w:tc>
        <w:tc>
          <w:tcPr/>
          <w:p>
            <w:pPr>
              <w:pStyle w:val="Compact"/>
            </w:pPr>
            <w:r>
              <w:t xml:space="preserve">Geometry</w:t>
            </w:r>
          </w:p>
        </w:tc>
        <w:tc>
          <w:tcPr/>
          <w:p>
            <w:pPr>
              <w:pStyle w:val="Compact"/>
            </w:pPr>
            <w:r>
              <w:t xml:space="preserve">Polygon</w:t>
            </w:r>
          </w:p>
        </w:tc>
        <w:tc>
          <w:tcPr/>
          <w:p>
            <w:pPr>
              <w:pStyle w:val="Compact"/>
            </w:pPr>
            <w:r>
              <w:t xml:space="preserve">Status, Change</w:t>
            </w:r>
          </w:p>
        </w:tc>
      </w:tr>
      <w:tr>
        <w:tc>
          <w:tcPr/>
          <w:p>
            <w:pPr>
              <w:pStyle w:val="Compact"/>
            </w:pPr>
            <w:r>
              <w:t xml:space="preserve">[UID]</w:t>
            </w:r>
          </w:p>
        </w:tc>
        <w:tc>
          <w:tcPr/>
          <w:p>
            <w:pPr>
              <w:pStyle w:val="Compact"/>
            </w:pPr>
            <w:r>
              <w:t xml:space="preserve">Unique Identifier of the feature geometry, generated as combination of OBJECTID and DeliveryUnit-ID in the form of</w:t>
            </w:r>
            <w:r>
              <w:t xml:space="preserve"> </w:t>
            </w:r>
            <w:r>
              <w:t xml:space="preserve">“ID_OBJECTID+1”</w:t>
            </w:r>
          </w:p>
        </w:tc>
        <w:tc>
          <w:tcPr/>
          <w:p>
            <w:pPr>
              <w:pStyle w:val="Compact"/>
            </w:pPr>
            <w:r>
              <w:t xml:space="preserve">String, Length 20</w:t>
            </w:r>
          </w:p>
        </w:tc>
        <w:tc>
          <w:tcPr/>
          <w:p>
            <w:pPr>
              <w:pStyle w:val="Compact"/>
            </w:pPr>
            <w:r>
              <w:t xml:space="preserve">Starting from 1_1</w:t>
            </w:r>
          </w:p>
        </w:tc>
        <w:tc>
          <w:tcPr/>
          <w:p>
            <w:pPr>
              <w:pStyle w:val="Compact"/>
            </w:pPr>
            <w:r>
              <w:t xml:space="preserve">Status, Change</w:t>
            </w:r>
          </w:p>
        </w:tc>
      </w:tr>
      <w:tr>
        <w:tc>
          <w:tcPr/>
          <w:p>
            <w:pPr>
              <w:pStyle w:val="Compact"/>
            </w:pPr>
            <w:r>
              <w:t xml:space="preserve">[CODE_1_18]</w:t>
            </w:r>
          </w:p>
        </w:tc>
        <w:tc>
          <w:tcPr/>
          <w:p>
            <w:pPr>
              <w:pStyle w:val="Compact"/>
            </w:pPr>
            <w:r>
              <w:t xml:space="preserve">Class code of LC/LU Level 1 for LC/LU 2018</w:t>
            </w:r>
          </w:p>
        </w:tc>
        <w:tc>
          <w:tcPr/>
          <w:p>
            <w:pPr>
              <w:pStyle w:val="Compact"/>
            </w:pPr>
            <w:r>
              <w:t xml:space="preserve">Long, Precision 9</w:t>
            </w:r>
          </w:p>
        </w:tc>
        <w:tc>
          <w:tcPr/>
          <w:p>
            <w:pPr>
              <w:pStyle w:val="Compact"/>
            </w:pPr>
            <w:r>
              <w:t xml:space="preserve">1 to 10</w:t>
            </w:r>
          </w:p>
        </w:tc>
        <w:tc>
          <w:tcPr/>
          <w:p>
            <w:pPr>
              <w:pStyle w:val="Compact"/>
            </w:pPr>
            <w:r>
              <w:t xml:space="preserve">Status, Change</w:t>
            </w:r>
          </w:p>
        </w:tc>
      </w:tr>
      <w:tr>
        <w:tc>
          <w:tcPr/>
          <w:p>
            <w:pPr>
              <w:pStyle w:val="Compact"/>
            </w:pPr>
            <w:r>
              <w:t xml:space="preserve">[CODE_2_18]</w:t>
            </w:r>
          </w:p>
        </w:tc>
        <w:tc>
          <w:tcPr/>
          <w:p>
            <w:pPr>
              <w:pStyle w:val="Compact"/>
            </w:pPr>
            <w:r>
              <w:t xml:space="preserve">Class code of LC/LU Level 2 for LC/LU 2018</w:t>
            </w:r>
          </w:p>
        </w:tc>
        <w:tc>
          <w:tcPr/>
          <w:p>
            <w:pPr>
              <w:pStyle w:val="Compact"/>
            </w:pPr>
            <w:r>
              <w:t xml:space="preserve">Long, Precision 9</w:t>
            </w:r>
          </w:p>
        </w:tc>
        <w:tc>
          <w:tcPr/>
          <w:p>
            <w:pPr>
              <w:pStyle w:val="Compact"/>
            </w:pPr>
            <w:r>
              <w:t xml:space="preserve">11 to 101</w:t>
            </w:r>
          </w:p>
        </w:tc>
        <w:tc>
          <w:tcPr/>
          <w:p>
            <w:pPr>
              <w:pStyle w:val="Compact"/>
            </w:pPr>
            <w:r>
              <w:t xml:space="preserve">Status, Change</w:t>
            </w:r>
          </w:p>
        </w:tc>
      </w:tr>
      <w:tr>
        <w:tc>
          <w:tcPr/>
          <w:p>
            <w:pPr>
              <w:pStyle w:val="Compact"/>
            </w:pPr>
            <w:r>
              <w:t xml:space="preserve">[CODE_3_18]</w:t>
            </w:r>
          </w:p>
        </w:tc>
        <w:tc>
          <w:tcPr/>
          <w:p>
            <w:pPr>
              <w:pStyle w:val="Compact"/>
            </w:pPr>
            <w:r>
              <w:t xml:space="preserve">Class code of LC/LU Level 3 for LC/LU 2018</w:t>
            </w:r>
          </w:p>
        </w:tc>
        <w:tc>
          <w:tcPr/>
          <w:p>
            <w:pPr>
              <w:pStyle w:val="Compact"/>
            </w:pPr>
            <w:r>
              <w:t xml:space="preserve">Long, Precision 9</w:t>
            </w:r>
          </w:p>
        </w:tc>
        <w:tc>
          <w:tcPr/>
          <w:p>
            <w:pPr>
              <w:pStyle w:val="Compact"/>
            </w:pPr>
            <w:r>
              <w:t xml:space="preserve">111 to 1011</w:t>
            </w:r>
          </w:p>
        </w:tc>
        <w:tc>
          <w:tcPr/>
          <w:p>
            <w:pPr>
              <w:pStyle w:val="Compact"/>
            </w:pPr>
            <w:r>
              <w:t xml:space="preserve">Status, Change</w:t>
            </w:r>
          </w:p>
        </w:tc>
      </w:tr>
      <w:tr>
        <w:tc>
          <w:tcPr/>
          <w:p>
            <w:pPr>
              <w:pStyle w:val="Compact"/>
            </w:pPr>
            <w:r>
              <w:t xml:space="preserve">[CODE_4_18]</w:t>
            </w:r>
          </w:p>
        </w:tc>
        <w:tc>
          <w:tcPr/>
          <w:p>
            <w:pPr>
              <w:pStyle w:val="Compact"/>
            </w:pPr>
            <w:r>
              <w:t xml:space="preserve">Class code of LC/LU Level 4 for LC/LU 2018</w:t>
            </w:r>
          </w:p>
        </w:tc>
        <w:tc>
          <w:tcPr/>
          <w:p>
            <w:pPr>
              <w:pStyle w:val="Compact"/>
            </w:pPr>
            <w:r>
              <w:t xml:space="preserve">Long, Precision 9</w:t>
            </w:r>
          </w:p>
        </w:tc>
        <w:tc>
          <w:tcPr/>
          <w:p>
            <w:pPr>
              <w:pStyle w:val="Compact"/>
            </w:pPr>
            <w:r>
              <w:t xml:space="preserve">1111 to 10111</w:t>
            </w:r>
          </w:p>
        </w:tc>
        <w:tc>
          <w:tcPr/>
          <w:p>
            <w:pPr>
              <w:pStyle w:val="Compact"/>
            </w:pPr>
            <w:r>
              <w:t xml:space="preserve">Status, Change</w:t>
            </w:r>
          </w:p>
        </w:tc>
      </w:tr>
      <w:tr>
        <w:tc>
          <w:tcPr/>
          <w:p>
            <w:pPr>
              <w:pStyle w:val="Compact"/>
            </w:pPr>
            <w:r>
              <w:t xml:space="preserve">[COMMENT_18]</w:t>
            </w:r>
          </w:p>
        </w:tc>
        <w:tc>
          <w:tcPr/>
          <w:p>
            <w:pPr>
              <w:pStyle w:val="Compact"/>
            </w:pPr>
            <w:r>
              <w:t xml:space="preserve">Comment field for additional information for LC/LU 2018</w:t>
            </w:r>
          </w:p>
        </w:tc>
        <w:tc>
          <w:tcPr/>
          <w:p>
            <w:pPr>
              <w:pStyle w:val="Compact"/>
            </w:pPr>
            <w:r>
              <w:t xml:space="preserve">String, Length 254</w:t>
            </w:r>
          </w:p>
        </w:tc>
        <w:tc>
          <w:tcPr/>
          <w:p>
            <w:pPr>
              <w:pStyle w:val="Compact"/>
            </w:pPr>
            <w:r>
              <w:t xml:space="preserve">Standardized text comments, separated by Semicolon</w:t>
            </w:r>
          </w:p>
        </w:tc>
        <w:tc>
          <w:tcPr/>
          <w:p>
            <w:pPr>
              <w:pStyle w:val="Compact"/>
            </w:pPr>
            <w:r>
              <w:t xml:space="preserve">Status</w:t>
            </w:r>
          </w:p>
        </w:tc>
      </w:tr>
      <w:tr>
        <w:tc>
          <w:tcPr/>
          <w:p>
            <w:pPr>
              <w:pStyle w:val="Compact"/>
            </w:pPr>
            <w:r>
              <w:t xml:space="preserve">[NODATA_18]</w:t>
            </w:r>
          </w:p>
        </w:tc>
        <w:tc>
          <w:tcPr/>
          <w:p>
            <w:pPr>
              <w:pStyle w:val="Compact"/>
            </w:pPr>
            <w:r>
              <w:t xml:space="preserve">Unclassifiable area due to clouds, shadows, snow, haze or missing data (no satellite data available)</w:t>
            </w:r>
          </w:p>
        </w:tc>
        <w:tc>
          <w:tcPr/>
          <w:p>
            <w:pPr>
              <w:pStyle w:val="Compact"/>
            </w:pPr>
            <w:r>
              <w:t xml:space="preserve">Long, Precision 9</w:t>
            </w:r>
          </w:p>
        </w:tc>
        <w:tc>
          <w:tcPr/>
          <w:p>
            <w:pPr>
              <w:pStyle w:val="Compact"/>
            </w:pPr>
            <w:r>
              <w:t xml:space="preserve">0,1</w:t>
            </w:r>
          </w:p>
        </w:tc>
        <w:tc>
          <w:tcPr/>
          <w:p>
            <w:pPr>
              <w:pStyle w:val="Compact"/>
            </w:pPr>
            <w:r>
              <w:t xml:space="preserve">Status, Change</w:t>
            </w:r>
          </w:p>
        </w:tc>
      </w:tr>
      <w:tr>
        <w:tc>
          <w:tcPr/>
          <w:p>
            <w:pPr>
              <w:pStyle w:val="Compact"/>
            </w:pPr>
            <w:r>
              <w:t xml:space="preserve">[CODE_1_12]</w:t>
            </w:r>
          </w:p>
        </w:tc>
        <w:tc>
          <w:tcPr/>
          <w:p>
            <w:pPr>
              <w:pStyle w:val="Compact"/>
            </w:pPr>
            <w:r>
              <w:t xml:space="preserve">Class code of LC/LU Level 1 for LC/LU 2012</w:t>
            </w:r>
          </w:p>
        </w:tc>
        <w:tc>
          <w:tcPr/>
          <w:p>
            <w:pPr>
              <w:pStyle w:val="Compact"/>
            </w:pPr>
            <w:r>
              <w:t xml:space="preserve">Long, Precision 9</w:t>
            </w:r>
          </w:p>
        </w:tc>
        <w:tc>
          <w:tcPr/>
          <w:p>
            <w:pPr>
              <w:pStyle w:val="Compact"/>
            </w:pPr>
            <w:r>
              <w:t xml:space="preserve">1 to 10</w:t>
            </w:r>
          </w:p>
        </w:tc>
        <w:tc>
          <w:tcPr/>
          <w:p>
            <w:pPr>
              <w:pStyle w:val="Compact"/>
            </w:pPr>
            <w:r>
              <w:t xml:space="preserve">Status, Change</w:t>
            </w:r>
          </w:p>
        </w:tc>
      </w:tr>
      <w:tr>
        <w:tc>
          <w:tcPr/>
          <w:p>
            <w:pPr>
              <w:pStyle w:val="Compact"/>
            </w:pPr>
            <w:r>
              <w:t xml:space="preserve">[CODE_2_12]</w:t>
            </w:r>
          </w:p>
        </w:tc>
        <w:tc>
          <w:tcPr/>
          <w:p>
            <w:pPr>
              <w:pStyle w:val="Compact"/>
            </w:pPr>
            <w:r>
              <w:t xml:space="preserve">Class code of LC/LU Level 2 for LC/LU 2012</w:t>
            </w:r>
          </w:p>
        </w:tc>
        <w:tc>
          <w:tcPr/>
          <w:p>
            <w:pPr>
              <w:pStyle w:val="Compact"/>
            </w:pPr>
            <w:r>
              <w:t xml:space="preserve">Long, Precision 9</w:t>
            </w:r>
          </w:p>
        </w:tc>
        <w:tc>
          <w:tcPr/>
          <w:p>
            <w:pPr>
              <w:pStyle w:val="Compact"/>
            </w:pPr>
            <w:r>
              <w:t xml:space="preserve">11 to 101</w:t>
            </w:r>
          </w:p>
        </w:tc>
        <w:tc>
          <w:tcPr/>
          <w:p>
            <w:pPr>
              <w:pStyle w:val="Compact"/>
            </w:pPr>
            <w:r>
              <w:t xml:space="preserve">Status, Change</w:t>
            </w:r>
          </w:p>
        </w:tc>
      </w:tr>
      <w:tr>
        <w:tc>
          <w:tcPr/>
          <w:p>
            <w:pPr>
              <w:pStyle w:val="Compact"/>
            </w:pPr>
            <w:r>
              <w:t xml:space="preserve">[CODE_3_12]</w:t>
            </w:r>
          </w:p>
        </w:tc>
        <w:tc>
          <w:tcPr/>
          <w:p>
            <w:pPr>
              <w:pStyle w:val="Compact"/>
            </w:pPr>
            <w:r>
              <w:t xml:space="preserve">Class code of LC/LU Level 3 for LC/LU 2012</w:t>
            </w:r>
          </w:p>
        </w:tc>
        <w:tc>
          <w:tcPr/>
          <w:p>
            <w:pPr>
              <w:pStyle w:val="Compact"/>
            </w:pPr>
            <w:r>
              <w:t xml:space="preserve">Long, Precision 9</w:t>
            </w:r>
          </w:p>
        </w:tc>
        <w:tc>
          <w:tcPr/>
          <w:p>
            <w:pPr>
              <w:pStyle w:val="Compact"/>
            </w:pPr>
            <w:r>
              <w:t xml:space="preserve">111 to 1011</w:t>
            </w:r>
          </w:p>
        </w:tc>
        <w:tc>
          <w:tcPr/>
          <w:p>
            <w:pPr>
              <w:pStyle w:val="Compact"/>
            </w:pPr>
            <w:r>
              <w:t xml:space="preserve">Status, Change</w:t>
            </w:r>
          </w:p>
        </w:tc>
      </w:tr>
      <w:tr>
        <w:tc>
          <w:tcPr/>
          <w:p>
            <w:pPr>
              <w:pStyle w:val="Compact"/>
            </w:pPr>
            <w:r>
              <w:t xml:space="preserve">[CODE_4_12]</w:t>
            </w:r>
          </w:p>
        </w:tc>
        <w:tc>
          <w:tcPr/>
          <w:p>
            <w:pPr>
              <w:pStyle w:val="Compact"/>
            </w:pPr>
            <w:r>
              <w:t xml:space="preserve">Class code of LC/LU Level 4 for LC/LU 2012</w:t>
            </w:r>
          </w:p>
        </w:tc>
        <w:tc>
          <w:tcPr/>
          <w:p>
            <w:pPr>
              <w:pStyle w:val="Compact"/>
            </w:pPr>
            <w:r>
              <w:t xml:space="preserve">Long, Precision 9</w:t>
            </w:r>
          </w:p>
        </w:tc>
        <w:tc>
          <w:tcPr/>
          <w:p>
            <w:pPr>
              <w:pStyle w:val="Compact"/>
            </w:pPr>
            <w:r>
              <w:t xml:space="preserve">1111 to 10111</w:t>
            </w:r>
          </w:p>
        </w:tc>
        <w:tc>
          <w:tcPr/>
          <w:p>
            <w:pPr>
              <w:pStyle w:val="Compact"/>
            </w:pPr>
            <w:r>
              <w:t xml:space="preserve">Status, Change</w:t>
            </w:r>
          </w:p>
        </w:tc>
      </w:tr>
      <w:tr>
        <w:tc>
          <w:tcPr/>
          <w:p>
            <w:pPr>
              <w:pStyle w:val="Compact"/>
            </w:pPr>
            <w:r>
              <w:t xml:space="preserve">[COMMENT_12]</w:t>
            </w:r>
          </w:p>
        </w:tc>
        <w:tc>
          <w:tcPr/>
          <w:p>
            <w:pPr>
              <w:pStyle w:val="Compact"/>
            </w:pPr>
            <w:r>
              <w:t xml:space="preserve">Comment field for additional information for LC/LU 2012</w:t>
            </w:r>
          </w:p>
        </w:tc>
        <w:tc>
          <w:tcPr/>
          <w:p>
            <w:pPr>
              <w:pStyle w:val="Compact"/>
            </w:pPr>
            <w:r>
              <w:t xml:space="preserve">String, Length 254</w:t>
            </w:r>
          </w:p>
        </w:tc>
        <w:tc>
          <w:tcPr/>
          <w:p>
            <w:pPr>
              <w:pStyle w:val="Compact"/>
            </w:pPr>
            <w:r>
              <w:t xml:space="preserve">Standardized text comments, separated by Semicolon</w:t>
            </w:r>
          </w:p>
        </w:tc>
        <w:tc>
          <w:tcPr/>
          <w:p>
            <w:pPr>
              <w:pStyle w:val="Compact"/>
            </w:pPr>
            <w:r>
              <w:t xml:space="preserve">Status</w:t>
            </w:r>
          </w:p>
        </w:tc>
      </w:tr>
      <w:tr>
        <w:tc>
          <w:tcPr/>
          <w:p>
            <w:pPr>
              <w:pStyle w:val="Compact"/>
            </w:pPr>
            <w:r>
              <w:t xml:space="preserve">[NODATA_12]</w:t>
            </w:r>
          </w:p>
        </w:tc>
        <w:tc>
          <w:tcPr/>
          <w:p>
            <w:pPr>
              <w:pStyle w:val="Compact"/>
            </w:pPr>
            <w:r>
              <w:t xml:space="preserve">Unclassifiable area due to clouds, shadows, snow, haze or missing data (no satellite data available)</w:t>
            </w:r>
          </w:p>
        </w:tc>
        <w:tc>
          <w:tcPr/>
          <w:p>
            <w:pPr>
              <w:pStyle w:val="Compact"/>
            </w:pPr>
            <w:r>
              <w:t xml:space="preserve">Long, Precision 9</w:t>
            </w:r>
          </w:p>
        </w:tc>
        <w:tc>
          <w:tcPr/>
          <w:p>
            <w:pPr>
              <w:pStyle w:val="Compact"/>
            </w:pPr>
            <w:r>
              <w:t xml:space="preserve">0,1</w:t>
            </w:r>
          </w:p>
        </w:tc>
        <w:tc>
          <w:tcPr/>
          <w:p>
            <w:pPr>
              <w:pStyle w:val="Compact"/>
            </w:pPr>
            <w:r>
              <w:t xml:space="preserve">Status, Change</w:t>
            </w:r>
          </w:p>
        </w:tc>
      </w:tr>
      <w:tr>
        <w:tc>
          <w:tcPr/>
          <w:p>
            <w:pPr>
              <w:pStyle w:val="Compact"/>
            </w:pPr>
            <w:r>
              <w:t xml:space="preserve">[CODE_1_06]</w:t>
            </w:r>
          </w:p>
        </w:tc>
        <w:tc>
          <w:tcPr/>
          <w:p>
            <w:pPr>
              <w:pStyle w:val="Compact"/>
            </w:pPr>
            <w:r>
              <w:t xml:space="preserve">Class code of LC/LU Level 1 for LC/LU 2006</w:t>
            </w:r>
          </w:p>
        </w:tc>
        <w:tc>
          <w:tcPr/>
          <w:p>
            <w:pPr>
              <w:pStyle w:val="Compact"/>
            </w:pPr>
            <w:r>
              <w:t xml:space="preserve">Long, Precision 9</w:t>
            </w:r>
          </w:p>
        </w:tc>
        <w:tc>
          <w:tcPr/>
          <w:p>
            <w:pPr>
              <w:pStyle w:val="Compact"/>
            </w:pPr>
            <w:r>
              <w:t xml:space="preserve">1 to 10</w:t>
            </w:r>
          </w:p>
        </w:tc>
        <w:tc>
          <w:tcPr/>
          <w:p>
            <w:pPr>
              <w:pStyle w:val="Compact"/>
            </w:pPr>
            <w:r>
              <w:t xml:space="preserve">Status, Change</w:t>
            </w:r>
          </w:p>
        </w:tc>
      </w:tr>
      <w:tr>
        <w:tc>
          <w:tcPr/>
          <w:p>
            <w:pPr>
              <w:pStyle w:val="Compact"/>
            </w:pPr>
            <w:r>
              <w:t xml:space="preserve">[CODE_2_06]</w:t>
            </w:r>
          </w:p>
        </w:tc>
        <w:tc>
          <w:tcPr/>
          <w:p>
            <w:pPr>
              <w:pStyle w:val="Compact"/>
            </w:pPr>
            <w:r>
              <w:t xml:space="preserve">Class code of LC/LU Level 2 for LC/LU 2006</w:t>
            </w:r>
          </w:p>
        </w:tc>
        <w:tc>
          <w:tcPr/>
          <w:p>
            <w:pPr>
              <w:pStyle w:val="Compact"/>
            </w:pPr>
            <w:r>
              <w:t xml:space="preserve">Long, Precision 9</w:t>
            </w:r>
          </w:p>
        </w:tc>
        <w:tc>
          <w:tcPr/>
          <w:p>
            <w:pPr>
              <w:pStyle w:val="Compact"/>
            </w:pPr>
            <w:r>
              <w:t xml:space="preserve">11 to 101</w:t>
            </w:r>
          </w:p>
        </w:tc>
        <w:tc>
          <w:tcPr/>
          <w:p>
            <w:pPr>
              <w:pStyle w:val="Compact"/>
            </w:pPr>
            <w:r>
              <w:t xml:space="preserve">Status, Change</w:t>
            </w:r>
          </w:p>
        </w:tc>
      </w:tr>
      <w:tr>
        <w:tc>
          <w:tcPr/>
          <w:p>
            <w:pPr>
              <w:pStyle w:val="Compact"/>
            </w:pPr>
            <w:r>
              <w:t xml:space="preserve">[CODE_3_06]</w:t>
            </w:r>
          </w:p>
        </w:tc>
        <w:tc>
          <w:tcPr/>
          <w:p>
            <w:pPr>
              <w:pStyle w:val="Compact"/>
            </w:pPr>
            <w:r>
              <w:t xml:space="preserve">Class code of LC/LU Level 3 for LC/LU 2006</w:t>
            </w:r>
          </w:p>
        </w:tc>
        <w:tc>
          <w:tcPr/>
          <w:p>
            <w:pPr>
              <w:pStyle w:val="Compact"/>
            </w:pPr>
            <w:r>
              <w:t xml:space="preserve">Long, Precision 9</w:t>
            </w:r>
          </w:p>
        </w:tc>
        <w:tc>
          <w:tcPr/>
          <w:p>
            <w:pPr>
              <w:pStyle w:val="Compact"/>
            </w:pPr>
            <w:r>
              <w:t xml:space="preserve">111 to 1011</w:t>
            </w:r>
          </w:p>
        </w:tc>
        <w:tc>
          <w:tcPr/>
          <w:p>
            <w:pPr>
              <w:pStyle w:val="Compact"/>
            </w:pPr>
            <w:r>
              <w:t xml:space="preserve">Status, Change</w:t>
            </w:r>
          </w:p>
        </w:tc>
      </w:tr>
      <w:tr>
        <w:tc>
          <w:tcPr/>
          <w:p>
            <w:pPr>
              <w:pStyle w:val="Compact"/>
            </w:pPr>
            <w:r>
              <w:t xml:space="preserve">[CODE_4_06]</w:t>
            </w:r>
          </w:p>
        </w:tc>
        <w:tc>
          <w:tcPr/>
          <w:p>
            <w:pPr>
              <w:pStyle w:val="Compact"/>
            </w:pPr>
            <w:r>
              <w:t xml:space="preserve">Class code of LC/LU Level 4 for LC/LU 2006</w:t>
            </w:r>
          </w:p>
        </w:tc>
        <w:tc>
          <w:tcPr/>
          <w:p>
            <w:pPr>
              <w:pStyle w:val="Compact"/>
            </w:pPr>
            <w:r>
              <w:t xml:space="preserve">Long, Precision 9</w:t>
            </w:r>
          </w:p>
        </w:tc>
        <w:tc>
          <w:tcPr/>
          <w:p>
            <w:pPr>
              <w:pStyle w:val="Compact"/>
            </w:pPr>
            <w:r>
              <w:t xml:space="preserve">1111 to 10111</w:t>
            </w:r>
          </w:p>
        </w:tc>
        <w:tc>
          <w:tcPr/>
          <w:p>
            <w:pPr>
              <w:pStyle w:val="Compact"/>
            </w:pPr>
            <w:r>
              <w:t xml:space="preserve">Status, Change</w:t>
            </w:r>
          </w:p>
        </w:tc>
      </w:tr>
      <w:tr>
        <w:tc>
          <w:tcPr/>
          <w:p>
            <w:pPr>
              <w:pStyle w:val="Compact"/>
            </w:pPr>
            <w:r>
              <w:t xml:space="preserve">[COMMENT_06]</w:t>
            </w:r>
          </w:p>
        </w:tc>
        <w:tc>
          <w:tcPr/>
          <w:p>
            <w:pPr>
              <w:pStyle w:val="Compact"/>
            </w:pPr>
            <w:r>
              <w:t xml:space="preserve">Comment field for additional information for LC/LU 2006</w:t>
            </w:r>
          </w:p>
        </w:tc>
        <w:tc>
          <w:tcPr/>
          <w:p>
            <w:pPr>
              <w:pStyle w:val="Compact"/>
            </w:pPr>
            <w:r>
              <w:t xml:space="preserve">String, Length 254</w:t>
            </w:r>
          </w:p>
        </w:tc>
        <w:tc>
          <w:tcPr/>
          <w:p>
            <w:pPr>
              <w:pStyle w:val="Compact"/>
            </w:pPr>
            <w:r>
              <w:t xml:space="preserve">Standardized text comments, separated by Semicolon</w:t>
            </w:r>
          </w:p>
        </w:tc>
        <w:tc>
          <w:tcPr/>
          <w:p>
            <w:pPr>
              <w:pStyle w:val="Compact"/>
            </w:pPr>
            <w:r>
              <w:t xml:space="preserve">Status</w:t>
            </w:r>
          </w:p>
        </w:tc>
      </w:tr>
      <w:tr>
        <w:tc>
          <w:tcPr/>
          <w:p>
            <w:pPr>
              <w:pStyle w:val="Compact"/>
            </w:pPr>
            <w:r>
              <w:t xml:space="preserve">[NODATA_06]</w:t>
            </w:r>
          </w:p>
        </w:tc>
        <w:tc>
          <w:tcPr/>
          <w:p>
            <w:pPr>
              <w:pStyle w:val="Compact"/>
            </w:pPr>
            <w:r>
              <w:t xml:space="preserve">Unclassifiable area due to clouds, shadows, snow, haze or missing data (no satellite data available)</w:t>
            </w:r>
          </w:p>
        </w:tc>
        <w:tc>
          <w:tcPr/>
          <w:p>
            <w:pPr>
              <w:pStyle w:val="Compact"/>
            </w:pPr>
            <w:r>
              <w:t xml:space="preserve">Long, Precision 9</w:t>
            </w:r>
          </w:p>
        </w:tc>
        <w:tc>
          <w:tcPr/>
          <w:p>
            <w:pPr>
              <w:pStyle w:val="Compact"/>
            </w:pPr>
            <w:r>
              <w:t xml:space="preserve">0,1</w:t>
            </w:r>
          </w:p>
        </w:tc>
        <w:tc>
          <w:tcPr/>
          <w:p>
            <w:pPr>
              <w:pStyle w:val="Compact"/>
            </w:pPr>
            <w:r>
              <w:t xml:space="preserve">Status, Change</w:t>
            </w:r>
          </w:p>
        </w:tc>
      </w:tr>
      <w:tr>
        <w:tc>
          <w:tcPr/>
          <w:p>
            <w:pPr>
              <w:pStyle w:val="Compact"/>
            </w:pPr>
            <w:r>
              <w:t xml:space="preserve">[CHANGECODE]</w:t>
            </w:r>
          </w:p>
        </w:tc>
        <w:tc>
          <w:tcPr/>
          <w:p>
            <w:pPr>
              <w:pStyle w:val="Compact"/>
            </w:pPr>
            <w:r>
              <w:t xml:space="preserve">Change Class code of LC/LU Level 4 for LC/LU 2006–2012 (</w:t>
            </w:r>
            <w:r>
              <w:rPr>
                <w:i/>
                <w:iCs/>
              </w:rPr>
              <w:t xml:space="preserve">CODE_4_06_CODE_4_12</w:t>
            </w:r>
            <w:r>
              <w:t xml:space="preserve">) or 2012–2018 (</w:t>
            </w:r>
            <w:r>
              <w:rPr>
                <w:i/>
                <w:iCs/>
              </w:rPr>
              <w:t xml:space="preserve">CODE_4_12_CODE_4_18</w:t>
            </w:r>
            <w:r>
              <w:t xml:space="preserve">)</w:t>
            </w:r>
          </w:p>
        </w:tc>
        <w:tc>
          <w:tcPr/>
          <w:p>
            <w:pPr>
              <w:pStyle w:val="Compact"/>
            </w:pPr>
            <w:r>
              <w:t xml:space="preserve">String, Length 11</w:t>
            </w:r>
          </w:p>
        </w:tc>
        <w:tc>
          <w:tcPr/>
          <w:p>
            <w:pPr>
              <w:pStyle w:val="Compact"/>
            </w:pPr>
            <w:r>
              <w:t xml:space="preserve">1111_1111 to 10111_10111</w:t>
            </w:r>
          </w:p>
        </w:tc>
        <w:tc>
          <w:tcPr/>
          <w:p>
            <w:pPr>
              <w:pStyle w:val="Compact"/>
            </w:pPr>
            <w:r>
              <w:t xml:space="preserve">Change</w:t>
            </w:r>
          </w:p>
        </w:tc>
      </w:tr>
      <w:tr>
        <w:tc>
          <w:tcPr/>
          <w:p>
            <w:pPr>
              <w:pStyle w:val="Compact"/>
            </w:pPr>
            <w:r>
              <w:t xml:space="preserve">[COMMENT]</w:t>
            </w:r>
          </w:p>
        </w:tc>
        <w:tc>
          <w:tcPr/>
          <w:p>
            <w:pPr>
              <w:pStyle w:val="Compact"/>
            </w:pPr>
            <w:r>
              <w:t xml:space="preserve">Comment field for additional information for change products LC/LU 2006–2012, 2012–2018</w:t>
            </w:r>
          </w:p>
        </w:tc>
        <w:tc>
          <w:tcPr/>
          <w:p>
            <w:pPr>
              <w:pStyle w:val="Compact"/>
            </w:pPr>
            <w:r>
              <w:t xml:space="preserve">String, Length 254</w:t>
            </w:r>
          </w:p>
        </w:tc>
        <w:tc>
          <w:tcPr/>
          <w:p>
            <w:pPr>
              <w:pStyle w:val="Compact"/>
            </w:pPr>
            <w:r>
              <w:t xml:space="preserve">Standardized text comments, separated by Semicolon</w:t>
            </w:r>
          </w:p>
        </w:tc>
        <w:tc>
          <w:tcPr/>
          <w:p>
            <w:pPr>
              <w:pStyle w:val="Compact"/>
            </w:pPr>
            <w:r>
              <w:t xml:space="preserve">Change</w:t>
            </w:r>
          </w:p>
        </w:tc>
      </w:tr>
      <w:tr>
        <w:tc>
          <w:tcPr/>
          <w:p>
            <w:pPr>
              <w:pStyle w:val="Compact"/>
            </w:pPr>
            <w:r>
              <w:t xml:space="preserve">[AREA_HA]</w:t>
            </w:r>
          </w:p>
        </w:tc>
        <w:tc>
          <w:tcPr/>
          <w:p>
            <w:pPr>
              <w:pStyle w:val="Compact"/>
            </w:pPr>
            <w:r>
              <w:t xml:space="preserve">Area in hectare [ha]</w:t>
            </w:r>
          </w:p>
        </w:tc>
        <w:tc>
          <w:tcPr/>
          <w:p>
            <w:pPr>
              <w:pStyle w:val="Compact"/>
            </w:pPr>
            <w:r>
              <w:t xml:space="preserve">Double</w:t>
            </w:r>
          </w:p>
        </w:tc>
        <w:tc>
          <w:tcPr/>
          <w:p>
            <w:pPr>
              <w:pStyle w:val="Compact"/>
            </w:pPr>
            <w:r>
              <w:t xml:space="preserve">0.001 to 1.8E308</w:t>
            </w:r>
          </w:p>
        </w:tc>
        <w:tc>
          <w:tcPr/>
          <w:p>
            <w:pPr>
              <w:pStyle w:val="Compact"/>
            </w:pPr>
            <w:r>
              <w:t xml:space="preserve">Status, Change</w:t>
            </w:r>
          </w:p>
        </w:tc>
      </w:tr>
    </w:tbl>
    <w:p>
      <w:pPr>
        <w:pStyle w:val="BodyText"/>
      </w:pPr>
      <w:r>
        <w:t xml:space="preserve">The standardized entries for [COMMENT], [COMMENT_18], [COMMENT_12] and [COMMENT_06] are separated by a semicolon in increasing order following their</w:t>
      </w:r>
      <w:r>
        <w:t xml:space="preserve"> </w:t>
      </w:r>
      <w:r>
        <w:t xml:space="preserve">“Order No”</w:t>
      </w:r>
      <w:r>
        <w:t xml:space="preserve"> </w:t>
      </w:r>
      <w:r>
        <w:t xml:space="preserve">(Table 9).</w:t>
      </w:r>
    </w:p>
    <w:p>
      <w:pPr>
        <w:pStyle w:val="TableCaption"/>
      </w:pPr>
      <w:r>
        <w:t xml:space="preserve">Table 9: List of allowed [COMMENT] and [COMMENT_XX] entries</w:t>
      </w:r>
    </w:p>
    <w:tbl>
      <w:tblPr>
        <w:tblStyle w:val="Table"/>
        <w:tblW w:type="pct" w:w="5000"/>
        <w:tblLayout w:type="fixed"/>
        <w:tblLook w:firstRow="1" w:lastRow="0" w:firstColumn="0" w:lastColumn="0" w:noHBand="0" w:noVBand="0" w:val="0020"/>
        <w:tblCaption w:val="Table 9: List of allowed [COMMENT] and [COMMENT_XX] entries"/>
      </w:tblPr>
      <w:tblGrid>
        <w:gridCol w:w="210"/>
        <w:gridCol w:w="1221"/>
        <w:gridCol w:w="6045"/>
        <w:gridCol w:w="442"/>
      </w:tblGrid>
      <w:tr>
        <w:trPr>
          <w:tblHeader w:val="on"/>
        </w:trPr>
        <w:tc>
          <w:tcPr/>
          <w:p>
            <w:pPr>
              <w:pStyle w:val="Compact"/>
            </w:pPr>
            <w:r>
              <w:t xml:space="preserve">Order No</w:t>
            </w:r>
          </w:p>
        </w:tc>
        <w:tc>
          <w:tcPr/>
          <w:p>
            <w:pPr>
              <w:pStyle w:val="Compact"/>
            </w:pPr>
            <w:r>
              <w:t xml:space="preserve">Entry Value</w:t>
            </w:r>
          </w:p>
        </w:tc>
        <w:tc>
          <w:tcPr/>
          <w:p>
            <w:pPr>
              <w:pStyle w:val="Compact"/>
            </w:pPr>
            <w:r>
              <w:t xml:space="preserve">Description / Note</w:t>
            </w:r>
          </w:p>
        </w:tc>
        <w:tc>
          <w:tcPr/>
          <w:p>
            <w:pPr>
              <w:pStyle w:val="Compact"/>
            </w:pPr>
            <w:r>
              <w:t xml:space="preserve">Applicable Products</w:t>
            </w:r>
          </w:p>
        </w:tc>
      </w:tr>
      <w:tr>
        <w:tc>
          <w:tcPr/>
          <w:p>
            <w:pPr>
              <w:pStyle w:val="Compact"/>
            </w:pPr>
            <w:r>
              <w:t xml:space="preserve">1</w:t>
            </w:r>
          </w:p>
        </w:tc>
        <w:tc>
          <w:tcPr/>
          <w:p>
            <w:pPr>
              <w:pStyle w:val="Compact"/>
            </w:pPr>
            <w:r>
              <w:t xml:space="preserve">Area size exception (at Natura2000 AoI boundary)</w:t>
            </w:r>
          </w:p>
        </w:tc>
        <w:tc>
          <w:tcPr/>
          <w:p>
            <w:pPr>
              <w:pStyle w:val="Compact"/>
            </w:pPr>
            <w:r>
              <w:t xml:space="preserve">Polygons &lt; 0.5 ha at outer AoI site boundary, that have an apparent continuation outside the AoI boundary, which is visible on the image data.</w:t>
            </w:r>
          </w:p>
        </w:tc>
        <w:tc>
          <w:tcPr/>
          <w:p>
            <w:pPr>
              <w:pStyle w:val="Compact"/>
            </w:pPr>
            <w:r>
              <w:t xml:space="preserve">Status, Change</w:t>
            </w:r>
          </w:p>
        </w:tc>
      </w:tr>
      <w:tr>
        <w:tc>
          <w:tcPr/>
          <w:p>
            <w:pPr>
              <w:pStyle w:val="Compact"/>
            </w:pPr>
            <w:r>
              <w:t xml:space="preserve">2</w:t>
            </w:r>
          </w:p>
        </w:tc>
        <w:tc>
          <w:tcPr/>
          <w:p>
            <w:pPr>
              <w:pStyle w:val="Compact"/>
            </w:pPr>
            <w:r>
              <w:t xml:space="preserve">Area size exception (inside Natura2000 AoI boundary)</w:t>
            </w:r>
          </w:p>
        </w:tc>
        <w:tc>
          <w:tcPr/>
          <w:p>
            <w:pPr>
              <w:pStyle w:val="Compact"/>
            </w:pPr>
            <w:r>
              <w:t xml:space="preserve">Polygons &lt; 0.5 ha inside AoI site boundary, that are allowed due to nomenclature guideline rules e.g. to represent changes, to ensure continuity of road/rail/river network at intersections of these classes, to mark urban objects confined by roads or railways ≥ 0.25 ha up to &lt; 0.5 ha</w:t>
            </w:r>
          </w:p>
        </w:tc>
        <w:tc>
          <w:tcPr/>
          <w:p>
            <w:pPr>
              <w:pStyle w:val="Compact"/>
            </w:pPr>
            <w:r>
              <w:t xml:space="preserve">Status, Change</w:t>
            </w:r>
          </w:p>
        </w:tc>
      </w:tr>
      <w:tr>
        <w:tc>
          <w:tcPr/>
          <w:p>
            <w:pPr>
              <w:pStyle w:val="Compact"/>
            </w:pPr>
            <w:r>
              <w:t xml:space="preserve">3</w:t>
            </w:r>
          </w:p>
        </w:tc>
        <w:tc>
          <w:tcPr/>
          <w:p>
            <w:pPr>
              <w:pStyle w:val="Compact"/>
            </w:pPr>
            <w:r>
              <w:t xml:space="preserve">Splitted change</w:t>
            </w:r>
          </w:p>
        </w:tc>
        <w:tc>
          <w:tcPr/>
          <w:p>
            <w:pPr>
              <w:pStyle w:val="Compact"/>
            </w:pPr>
            <w:r>
              <w:t xml:space="preserve">Changes over several classes. Each change is &lt; 0.5 ha but overall change (=sum of individual change areas) is &gt; 0.5 ha.</w:t>
            </w:r>
          </w:p>
        </w:tc>
        <w:tc>
          <w:tcPr/>
          <w:p>
            <w:pPr>
              <w:pStyle w:val="Compact"/>
            </w:pPr>
            <w:r>
              <w:t xml:space="preserve">Change</w:t>
            </w:r>
          </w:p>
        </w:tc>
      </w:tr>
      <w:tr>
        <w:tc>
          <w:tcPr/>
          <w:p>
            <w:pPr>
              <w:pStyle w:val="Compact"/>
            </w:pPr>
            <w:r>
              <w:t xml:space="preserve">4</w:t>
            </w:r>
          </w:p>
        </w:tc>
        <w:tc>
          <w:tcPr/>
          <w:p>
            <w:pPr>
              <w:pStyle w:val="Compact"/>
            </w:pPr>
            <w:r>
              <w:t xml:space="preserve">Areas related to change</w:t>
            </w:r>
          </w:p>
        </w:tc>
        <w:tc>
          <w:tcPr/>
          <w:p>
            <w:pPr>
              <w:pStyle w:val="Compact"/>
            </w:pPr>
            <w:r>
              <w:t xml:space="preserve">Polygons &lt; 0.5 ha with no change but connected to change polygons (same code at a neighbouring polygon in one of the two years).</w:t>
            </w:r>
          </w:p>
        </w:tc>
        <w:tc>
          <w:tcPr/>
          <w:p>
            <w:pPr>
              <w:pStyle w:val="Compact"/>
            </w:pPr>
            <w:r>
              <w:t xml:space="preserve">Status</w:t>
            </w:r>
          </w:p>
        </w:tc>
      </w:tr>
      <w:tr>
        <w:tc>
          <w:tcPr/>
          <w:p>
            <w:pPr>
              <w:pStyle w:val="Compact"/>
            </w:pPr>
            <w:r>
              <w:t xml:space="preserve">5</w:t>
            </w:r>
          </w:p>
        </w:tc>
        <w:tc>
          <w:tcPr/>
          <w:p>
            <w:pPr>
              <w:pStyle w:val="Compact"/>
            </w:pPr>
            <w:r>
              <w:t xml:space="preserve">Temporal fluctuation of water level</w:t>
            </w:r>
          </w:p>
        </w:tc>
        <w:tc>
          <w:tcPr/>
          <w:p>
            <w:pPr>
              <w:pStyle w:val="Compact"/>
            </w:pPr>
            <w:r>
              <w:t xml:space="preserve">Different water levels in comparison of image data taken during dry/wet season and conditions. The water level situation of the reference year 2012 should be used for delineation. A flood event is not considered as a</w:t>
            </w:r>
            <w:r>
              <w:t xml:space="preserve"> </w:t>
            </w:r>
            <w:r>
              <w:t xml:space="preserve">“Temporal fluctuation of water level”</w:t>
            </w:r>
            <w:r>
              <w:t xml:space="preserve">.</w:t>
            </w:r>
          </w:p>
        </w:tc>
        <w:tc>
          <w:tcPr/>
          <w:p>
            <w:pPr>
              <w:pStyle w:val="Compact"/>
            </w:pPr>
            <w:r>
              <w:t xml:space="preserve">Status, Change</w:t>
            </w:r>
          </w:p>
        </w:tc>
      </w:tr>
      <w:tr>
        <w:tc>
          <w:tcPr/>
          <w:p>
            <w:pPr>
              <w:pStyle w:val="Compact"/>
            </w:pPr>
            <w:r>
              <w:t xml:space="preserve">6</w:t>
            </w:r>
          </w:p>
        </w:tc>
        <w:tc>
          <w:tcPr/>
          <w:p>
            <w:pPr>
              <w:pStyle w:val="Compact"/>
            </w:pPr>
            <w:r>
              <w:t xml:space="preserve">Flooded area</w:t>
            </w:r>
          </w:p>
        </w:tc>
        <w:tc>
          <w:tcPr/>
          <w:p>
            <w:pPr>
              <w:pStyle w:val="Compact"/>
            </w:pPr>
            <w:r>
              <w:t xml:space="preserve">Used for extraordinary flooding events where non-water land cover features are covered (partly or fully) by water. Comment is applied only in the year of the flooding event.</w:t>
            </w:r>
          </w:p>
        </w:tc>
        <w:tc>
          <w:tcPr/>
          <w:p>
            <w:pPr>
              <w:pStyle w:val="Compact"/>
            </w:pPr>
            <w:r>
              <w:t xml:space="preserve">Status, Change</w:t>
            </w:r>
          </w:p>
        </w:tc>
      </w:tr>
      <w:tr>
        <w:tc>
          <w:tcPr/>
          <w:p>
            <w:pPr>
              <w:pStyle w:val="Compact"/>
            </w:pPr>
            <w:r>
              <w:t xml:space="preserve">7</w:t>
            </w:r>
          </w:p>
        </w:tc>
        <w:tc>
          <w:tcPr/>
          <w:p>
            <w:pPr>
              <w:pStyle w:val="Compact"/>
            </w:pPr>
            <w:r>
              <w:t xml:space="preserve">Braided River</w:t>
            </w:r>
          </w:p>
        </w:tc>
        <w:tc>
          <w:tcPr/>
          <w:p>
            <w:pPr>
              <w:pStyle w:val="Compact"/>
            </w:pPr>
            <w:r>
              <w:t xml:space="preserve">For river banks that are crossed by side arms of a river. Only valid for MAES_4 Code 6213 (river banks).</w:t>
            </w:r>
          </w:p>
        </w:tc>
        <w:tc>
          <w:tcPr/>
          <w:p>
            <w:pPr>
              <w:pStyle w:val="Compact"/>
            </w:pPr>
            <w:r>
              <w:t xml:space="preserve">Status, Change</w:t>
            </w:r>
          </w:p>
        </w:tc>
      </w:tr>
    </w:tbl>
    <w:bookmarkEnd w:id="115"/>
    <w:bookmarkStart w:id="125" w:name="clms-n2k-nomenclature"/>
    <w:p>
      <w:pPr>
        <w:pStyle w:val="Heading2"/>
      </w:pPr>
      <w:r>
        <w:t xml:space="preserve">5.8 CLMS N2K nomenclature</w:t>
      </w:r>
    </w:p>
    <w:p>
      <w:pPr>
        <w:pStyle w:val="FirstParagraph"/>
      </w:pPr>
      <w:r>
        <w:t xml:space="preserve">The Nomenclature for the LC/LU dataset is structured into four levels (Code level 1- Code level 4). There are 55 different LC/LU classes (Table 10). The detailed description of each class is given in the N2K nomenclature and mapping guideline (AD01). The LC/LU code levels were designed to correspond to the Mapping and Assessment of Ecosystems and their Services (MAES) typology Level 2 (EU 2013).</w:t>
      </w:r>
    </w:p>
    <w:p>
      <w:pPr>
        <w:pStyle w:val="BodyText"/>
      </w:pPr>
      <w:r>
        <w:drawing>
          <wp:inline>
            <wp:extent cx="5943600" cy="8560615"/>
            <wp:effectExtent b="0" l="0" r="0" t="0"/>
            <wp:docPr descr="" title="" id="117" name="Picture"/>
            <a:graphic>
              <a:graphicData uri="http://schemas.openxmlformats.org/drawingml/2006/picture">
                <pic:pic>
                  <pic:nvPicPr>
                    <pic:cNvPr descr="N2K_Land_Cover_Land_Use_Product_User_Manual-media/Table1.png" id="118" name="Picture"/>
                    <pic:cNvPicPr>
                      <a:picLocks noChangeArrowheads="1" noChangeAspect="1"/>
                    </pic:cNvPicPr>
                  </pic:nvPicPr>
                  <pic:blipFill>
                    <a:blip r:embed="rId116"/>
                    <a:stretch>
                      <a:fillRect/>
                    </a:stretch>
                  </pic:blipFill>
                  <pic:spPr bwMode="auto">
                    <a:xfrm>
                      <a:off x="0" y="0"/>
                      <a:ext cx="5943600" cy="8560615"/>
                    </a:xfrm>
                    <a:prstGeom prst="rect">
                      <a:avLst/>
                    </a:prstGeom>
                    <a:noFill/>
                    <a:ln w="9525">
                      <a:noFill/>
                      <a:headEnd/>
                      <a:tailEnd/>
                    </a:ln>
                  </pic:spPr>
                </pic:pic>
              </a:graphicData>
            </a:graphic>
          </wp:inline>
        </w:drawing>
      </w:r>
    </w:p>
    <w:p>
      <w:pPr>
        <w:pStyle w:val="BodyText"/>
      </w:pPr>
      <w:r>
        <w:drawing>
          <wp:inline>
            <wp:extent cx="5943600" cy="8395907"/>
            <wp:effectExtent b="0" l="0" r="0" t="0"/>
            <wp:docPr descr="" title="" id="120" name="Picture"/>
            <a:graphic>
              <a:graphicData uri="http://schemas.openxmlformats.org/drawingml/2006/picture">
                <pic:pic>
                  <pic:nvPicPr>
                    <pic:cNvPr descr="N2K_Land_Cover_Land_Use_Product_User_Manual-media/Table2.png" id="121" name="Picture"/>
                    <pic:cNvPicPr>
                      <a:picLocks noChangeArrowheads="1" noChangeAspect="1"/>
                    </pic:cNvPicPr>
                  </pic:nvPicPr>
                  <pic:blipFill>
                    <a:blip r:embed="rId119"/>
                    <a:stretch>
                      <a:fillRect/>
                    </a:stretch>
                  </pic:blipFill>
                  <pic:spPr bwMode="auto">
                    <a:xfrm>
                      <a:off x="0" y="0"/>
                      <a:ext cx="5943600" cy="8395907"/>
                    </a:xfrm>
                    <a:prstGeom prst="rect">
                      <a:avLst/>
                    </a:prstGeom>
                    <a:noFill/>
                    <a:ln w="9525">
                      <a:noFill/>
                      <a:headEnd/>
                      <a:tailEnd/>
                    </a:ln>
                  </pic:spPr>
                </pic:pic>
              </a:graphicData>
            </a:graphic>
          </wp:inline>
        </w:drawing>
      </w:r>
    </w:p>
    <w:p>
      <w:pPr>
        <w:pStyle w:val="CaptionedFigure"/>
      </w:pPr>
      <w:r>
        <w:drawing>
          <wp:inline>
            <wp:extent cx="5943600" cy="7135375"/>
            <wp:effectExtent b="0" l="0" r="0" t="0"/>
            <wp:docPr descr="Table 10: CLMS N2K nomenclature overview (v1.4, dated 03.05.2021)" title="" id="123" name="Picture"/>
            <a:graphic>
              <a:graphicData uri="http://schemas.openxmlformats.org/drawingml/2006/picture">
                <pic:pic>
                  <pic:nvPicPr>
                    <pic:cNvPr descr="N2K_Land_Cover_Land_Use_Product_User_Manual-media/Table3.png" id="124" name="Picture"/>
                    <pic:cNvPicPr>
                      <a:picLocks noChangeArrowheads="1" noChangeAspect="1"/>
                    </pic:cNvPicPr>
                  </pic:nvPicPr>
                  <pic:blipFill>
                    <a:blip r:embed="rId122"/>
                    <a:stretch>
                      <a:fillRect/>
                    </a:stretch>
                  </pic:blipFill>
                  <pic:spPr bwMode="auto">
                    <a:xfrm>
                      <a:off x="0" y="0"/>
                      <a:ext cx="5943600" cy="7135375"/>
                    </a:xfrm>
                    <a:prstGeom prst="rect">
                      <a:avLst/>
                    </a:prstGeom>
                    <a:noFill/>
                    <a:ln w="9525">
                      <a:noFill/>
                      <a:headEnd/>
                      <a:tailEnd/>
                    </a:ln>
                  </pic:spPr>
                </pic:pic>
              </a:graphicData>
            </a:graphic>
          </wp:inline>
        </w:drawing>
      </w:r>
    </w:p>
    <w:p>
      <w:pPr>
        <w:pStyle w:val="ImageCaption"/>
      </w:pPr>
      <w:r>
        <w:t xml:space="preserve">Table 10: CLMS N2K nomenclature overview (v1.4, dated 03.05.2021)</w:t>
      </w:r>
    </w:p>
    <w:p>
      <w:r>
        <w:br w:type="page"/>
      </w:r>
    </w:p>
    <w:bookmarkEnd w:id="125"/>
    <w:bookmarkEnd w:id="126"/>
    <w:bookmarkStart w:id="144" w:name="product-methodology-and-workflow"/>
    <w:p>
      <w:pPr>
        <w:pStyle w:val="Heading1"/>
      </w:pPr>
      <w:r>
        <w:t xml:space="preserve">6. Product methodology and workflow</w:t>
      </w:r>
    </w:p>
    <w:p>
      <w:pPr>
        <w:pStyle w:val="FirstParagraph"/>
      </w:pPr>
      <w:r>
        <w:t xml:space="preserve">The CLMS N2K production is based on a three-tier approach (Figure 14). The presented workflow is valid for the 2018 production update cycle. Core to the project is the step visual</w:t>
      </w:r>
      <w:r>
        <w:t xml:space="preserve"> </w:t>
      </w:r>
      <w:r>
        <w:rPr>
          <w:i/>
          <w:iCs/>
        </w:rPr>
        <w:t xml:space="preserve">Interpretation and Classification</w:t>
      </w:r>
      <w:r>
        <w:t xml:space="preserve"> </w:t>
      </w:r>
      <w:r>
        <w:t xml:space="preserve">of LC/LU changes with respect to new VHR satellite information for the reference year 2018.</w:t>
      </w:r>
    </w:p>
    <w:p>
      <w:pPr>
        <w:pStyle w:val="CaptionedFigure"/>
      </w:pPr>
      <w:r>
        <w:drawing>
          <wp:inline>
            <wp:extent cx="5943600" cy="5704048"/>
            <wp:effectExtent b="0" l="0" r="0" t="0"/>
            <wp:docPr descr="Figure 14: Production workflow for CMLS N2K products" title="" id="128" name="Picture"/>
            <a:graphic>
              <a:graphicData uri="http://schemas.openxmlformats.org/drawingml/2006/picture">
                <pic:pic>
                  <pic:nvPicPr>
                    <pic:cNvPr descr="N2K_Land_Cover_Land_Use_Product_User_Manual-media/image28.png" id="129" name="Picture"/>
                    <pic:cNvPicPr>
                      <a:picLocks noChangeArrowheads="1" noChangeAspect="1"/>
                    </pic:cNvPicPr>
                  </pic:nvPicPr>
                  <pic:blipFill>
                    <a:blip r:embed="rId127"/>
                    <a:stretch>
                      <a:fillRect/>
                    </a:stretch>
                  </pic:blipFill>
                  <pic:spPr bwMode="auto">
                    <a:xfrm>
                      <a:off x="0" y="0"/>
                      <a:ext cx="5943600" cy="5704048"/>
                    </a:xfrm>
                    <a:prstGeom prst="rect">
                      <a:avLst/>
                    </a:prstGeom>
                    <a:noFill/>
                    <a:ln w="9525">
                      <a:noFill/>
                      <a:headEnd/>
                      <a:tailEnd/>
                    </a:ln>
                  </pic:spPr>
                </pic:pic>
              </a:graphicData>
            </a:graphic>
          </wp:inline>
        </w:drawing>
      </w:r>
    </w:p>
    <w:p>
      <w:pPr>
        <w:pStyle w:val="ImageCaption"/>
      </w:pPr>
      <w:r>
        <w:t xml:space="preserve">Figure 14: Production workflow for CMLS N2K products</w:t>
      </w:r>
    </w:p>
    <w:bookmarkStart w:id="130" w:name="data-pre-processing"/>
    <w:p>
      <w:pPr>
        <w:pStyle w:val="Heading2"/>
      </w:pPr>
      <w:r>
        <w:t xml:space="preserve">6.1 Data Pre-Processing</w:t>
      </w:r>
    </w:p>
    <w:p>
      <w:pPr>
        <w:pStyle w:val="FirstParagraph"/>
      </w:pPr>
      <w:r>
        <w:t xml:space="preserve">During the</w:t>
      </w:r>
      <w:r>
        <w:t xml:space="preserve"> </w:t>
      </w:r>
      <w:r>
        <w:rPr>
          <w:i/>
          <w:iCs/>
        </w:rPr>
        <w:t xml:space="preserve">Data Pre-Processing</w:t>
      </w:r>
      <w:r>
        <w:t xml:space="preserve"> </w:t>
      </w:r>
      <w:r>
        <w:t xml:space="preserve">almost cloud-free VHR optical datasets covering EEA39 (VHR_IMAGE_2018, VHR 2018 Enhanced), are prepared for the status layer 2018 production. This VHR imagery has been acquired within predefined time windows corresponding to the vegetation season 2018 (±1 year), with a spectral resolution comprising visible and NIR bands.</w:t>
      </w:r>
    </w:p>
    <w:p>
      <w:pPr>
        <w:pStyle w:val="BodyText"/>
      </w:pPr>
      <w:r>
        <w:t xml:space="preserve">It is a mix of primary satellite missions (Pléiades 1A &amp; 1B, SuperView-1, KOMPSat-3/3-A and PlanetScope) and backup missions (SPOT-6/-7, TripleSat and Deimos-2) at a spatial resolution of 2-4m. Additional in-situ and ancillary datasets relevant for the CLMS N2K production are also integrated into the production workflow to support the LC/LU analysis.</w:t>
      </w:r>
    </w:p>
    <w:p>
      <w:pPr>
        <w:pStyle w:val="BodyText"/>
      </w:pPr>
      <w:r>
        <w:t xml:space="preserve">For the change mapping 2012-2018 and the revision of the formerly produced 2006 and 2012 data, the following ESA data sources are used for the reference years 2006 (± 2 years) and 2012 (±2 years):</w:t>
      </w:r>
    </w:p>
    <w:p>
      <w:pPr>
        <w:numPr>
          <w:ilvl w:val="0"/>
          <w:numId w:val="1020"/>
        </w:numPr>
      </w:pPr>
      <w:r>
        <w:t xml:space="preserve">D2_MG2b_LOLA_011b</w:t>
      </w:r>
    </w:p>
    <w:p>
      <w:pPr>
        <w:numPr>
          <w:ilvl w:val="0"/>
          <w:numId w:val="1020"/>
        </w:numPr>
      </w:pPr>
      <w:r>
        <w:t xml:space="preserve">DAP_MG2b_01</w:t>
      </w:r>
    </w:p>
    <w:p>
      <w:pPr>
        <w:numPr>
          <w:ilvl w:val="0"/>
          <w:numId w:val="1020"/>
        </w:numPr>
      </w:pPr>
      <w:r>
        <w:t xml:space="preserve">DWH_MG2_CORE_02</w:t>
      </w:r>
    </w:p>
    <w:p>
      <w:pPr>
        <w:numPr>
          <w:ilvl w:val="0"/>
          <w:numId w:val="1020"/>
        </w:numPr>
      </w:pPr>
      <w:r>
        <w:t xml:space="preserve">DWH_MG2b_CORE_03</w:t>
      </w:r>
    </w:p>
    <w:p>
      <w:pPr>
        <w:numPr>
          <w:ilvl w:val="0"/>
          <w:numId w:val="1020"/>
        </w:numPr>
      </w:pPr>
      <w:r>
        <w:t xml:space="preserve">Natura 2000_Data_Procurement</w:t>
      </w:r>
    </w:p>
    <w:p>
      <w:pPr>
        <w:numPr>
          <w:ilvl w:val="0"/>
          <w:numId w:val="1020"/>
        </w:numPr>
      </w:pPr>
      <w:r>
        <w:t xml:space="preserve">VHR_IMAGE_2015</w:t>
      </w:r>
    </w:p>
    <w:p>
      <w:pPr>
        <w:numPr>
          <w:ilvl w:val="0"/>
          <w:numId w:val="1020"/>
        </w:numPr>
      </w:pPr>
      <w:r>
        <w:t xml:space="preserve">D2_MG2b_NARA_011b</w:t>
      </w:r>
    </w:p>
    <w:p>
      <w:pPr>
        <w:pStyle w:val="FirstParagraph"/>
      </w:pPr>
      <w:r>
        <w:t xml:space="preserve">The satellite data provided via these ESA data sources include different sensor types:</w:t>
      </w:r>
    </w:p>
    <w:tbl>
      <w:tblPr>
        <w:tblStyle w:val="Table"/>
        <w:tblW w:type="pct" w:w="4931"/>
        <w:tblLayout w:type="fixed"/>
        <w:tblLook w:firstRow="0" w:lastRow="0" w:firstColumn="0" w:lastColumn="0" w:noHBand="0" w:noVBand="0" w:val="0000"/>
      </w:tblPr>
      <w:tblGrid>
        <w:gridCol w:w="2530"/>
        <w:gridCol w:w="5280"/>
      </w:tblGrid>
      <w:tr>
        <w:tc>
          <w:tcPr/>
          <w:p>
            <w:pPr>
              <w:pStyle w:val="Compact"/>
              <w:numPr>
                <w:ilvl w:val="0"/>
                <w:numId w:val="1021"/>
              </w:numPr>
            </w:pPr>
            <w:r>
              <w:t xml:space="preserve">Deimos-02</w:t>
            </w:r>
          </w:p>
        </w:tc>
        <w:tc>
          <w:tcPr/>
          <w:p>
            <w:pPr>
              <w:pStyle w:val="Compact"/>
              <w:numPr>
                <w:ilvl w:val="0"/>
                <w:numId w:val="1022"/>
              </w:numPr>
            </w:pPr>
            <w:r>
              <w:t xml:space="preserve">SPOT-4</w:t>
            </w:r>
          </w:p>
        </w:tc>
      </w:tr>
      <w:tr>
        <w:tc>
          <w:tcPr/>
          <w:p>
            <w:pPr>
              <w:pStyle w:val="Compact"/>
              <w:numPr>
                <w:ilvl w:val="0"/>
                <w:numId w:val="1023"/>
              </w:numPr>
            </w:pPr>
            <w:r>
              <w:t xml:space="preserve">Planet DOVE</w:t>
            </w:r>
          </w:p>
        </w:tc>
        <w:tc>
          <w:tcPr/>
          <w:p>
            <w:pPr>
              <w:pStyle w:val="Compact"/>
              <w:numPr>
                <w:ilvl w:val="0"/>
                <w:numId w:val="1024"/>
              </w:numPr>
            </w:pPr>
            <w:r>
              <w:t xml:space="preserve">SPOT-5</w:t>
            </w:r>
          </w:p>
        </w:tc>
      </w:tr>
      <w:tr>
        <w:tc>
          <w:tcPr/>
          <w:p>
            <w:pPr>
              <w:pStyle w:val="Compact"/>
              <w:numPr>
                <w:ilvl w:val="0"/>
                <w:numId w:val="1025"/>
              </w:numPr>
            </w:pPr>
            <w:r>
              <w:t xml:space="preserve">Quickbird 02</w:t>
            </w:r>
          </w:p>
        </w:tc>
        <w:tc>
          <w:tcPr/>
          <w:p>
            <w:pPr>
              <w:pStyle w:val="Compact"/>
              <w:numPr>
                <w:ilvl w:val="0"/>
                <w:numId w:val="1026"/>
              </w:numPr>
            </w:pPr>
            <w:r>
              <w:t xml:space="preserve">SPOT-6</w:t>
            </w:r>
          </w:p>
        </w:tc>
      </w:tr>
      <w:tr>
        <w:tc>
          <w:tcPr/>
          <w:p>
            <w:pPr>
              <w:pStyle w:val="Compact"/>
              <w:numPr>
                <w:ilvl w:val="0"/>
                <w:numId w:val="1027"/>
              </w:numPr>
            </w:pPr>
            <w:r>
              <w:t xml:space="preserve">GeoEye 01</w:t>
            </w:r>
          </w:p>
        </w:tc>
        <w:tc>
          <w:tcPr/>
          <w:p>
            <w:pPr>
              <w:pStyle w:val="Compact"/>
              <w:numPr>
                <w:ilvl w:val="0"/>
                <w:numId w:val="1028"/>
              </w:numPr>
            </w:pPr>
            <w:r>
              <w:t xml:space="preserve">SPOT-7</w:t>
            </w:r>
          </w:p>
        </w:tc>
      </w:tr>
      <w:tr>
        <w:tc>
          <w:tcPr/>
          <w:p>
            <w:pPr>
              <w:pStyle w:val="Compact"/>
              <w:numPr>
                <w:ilvl w:val="0"/>
                <w:numId w:val="1029"/>
              </w:numPr>
            </w:pPr>
            <w:r>
              <w:t xml:space="preserve">IRS-P6-LISS III</w:t>
            </w:r>
          </w:p>
        </w:tc>
        <w:tc>
          <w:tcPr/>
          <w:p>
            <w:pPr>
              <w:pStyle w:val="Compact"/>
              <w:numPr>
                <w:ilvl w:val="0"/>
                <w:numId w:val="1030"/>
              </w:numPr>
            </w:pPr>
            <w:r>
              <w:t xml:space="preserve">SuperView</w:t>
            </w:r>
          </w:p>
        </w:tc>
      </w:tr>
      <w:tr>
        <w:tc>
          <w:tcPr/>
          <w:p>
            <w:pPr>
              <w:pStyle w:val="Compact"/>
              <w:numPr>
                <w:ilvl w:val="0"/>
                <w:numId w:val="1031"/>
              </w:numPr>
            </w:pPr>
            <w:r>
              <w:t xml:space="preserve">Kompsat 03/04</w:t>
            </w:r>
          </w:p>
        </w:tc>
        <w:tc>
          <w:tcPr/>
          <w:p>
            <w:pPr>
              <w:pStyle w:val="Compact"/>
              <w:numPr>
                <w:ilvl w:val="0"/>
                <w:numId w:val="1032"/>
              </w:numPr>
            </w:pPr>
            <w:r>
              <w:t xml:space="preserve">TripleSat</w:t>
            </w:r>
          </w:p>
        </w:tc>
      </w:tr>
      <w:tr>
        <w:tc>
          <w:tcPr/>
          <w:p>
            <w:pPr>
              <w:pStyle w:val="Compact"/>
              <w:numPr>
                <w:ilvl w:val="0"/>
                <w:numId w:val="1033"/>
              </w:numPr>
            </w:pPr>
            <w:r>
              <w:t xml:space="preserve">Pleiades 1A</w:t>
            </w:r>
          </w:p>
        </w:tc>
        <w:tc>
          <w:tcPr/>
          <w:p>
            <w:pPr>
              <w:pStyle w:val="Compact"/>
              <w:numPr>
                <w:ilvl w:val="0"/>
                <w:numId w:val="1034"/>
              </w:numPr>
            </w:pPr>
            <w:r>
              <w:t xml:space="preserve">WorldView 1</w:t>
            </w:r>
          </w:p>
        </w:tc>
      </w:tr>
      <w:tr>
        <w:tc>
          <w:tcPr/>
          <w:p>
            <w:pPr>
              <w:pStyle w:val="Compact"/>
              <w:numPr>
                <w:ilvl w:val="0"/>
                <w:numId w:val="1035"/>
              </w:numPr>
            </w:pPr>
            <w:r>
              <w:t xml:space="preserve">Pleiades 1B</w:t>
            </w:r>
          </w:p>
        </w:tc>
        <w:tc>
          <w:tcPr/>
          <w:p>
            <w:pPr>
              <w:pStyle w:val="Compact"/>
              <w:numPr>
                <w:ilvl w:val="0"/>
                <w:numId w:val="1036"/>
              </w:numPr>
            </w:pPr>
            <w:r>
              <w:t xml:space="preserve">WorldView 2</w:t>
            </w:r>
          </w:p>
        </w:tc>
      </w:tr>
    </w:tbl>
    <w:p>
      <w:pPr>
        <w:pStyle w:val="FirstParagraph"/>
      </w:pPr>
      <w:r>
        <w:t xml:space="preserve">Additionally, to overcome cloud problems in restricted areas Sentinel 2 from ESA for 2018 and Landsat 5 and Landsat 8 data from USGS (United States Geological Survey) are used for the reference dates 2006 and 2012 respectively.</w:t>
      </w:r>
    </w:p>
    <w:bookmarkEnd w:id="130"/>
    <w:bookmarkStart w:id="143" w:name="interpretation-and-classification"/>
    <w:p>
      <w:pPr>
        <w:pStyle w:val="Heading2"/>
      </w:pPr>
      <w:r>
        <w:t xml:space="preserve">6.2 Interpretation and Classification</w:t>
      </w:r>
    </w:p>
    <w:p>
      <w:pPr>
        <w:pStyle w:val="FirstParagraph"/>
      </w:pPr>
      <w:r>
        <w:t xml:space="preserve">The</w:t>
      </w:r>
      <w:r>
        <w:t xml:space="preserve"> </w:t>
      </w:r>
      <w:r>
        <w:rPr>
          <w:i/>
          <w:iCs/>
        </w:rPr>
        <w:t xml:space="preserve">Interpretation and Classification</w:t>
      </w:r>
      <w:r>
        <w:t xml:space="preserve"> </w:t>
      </w:r>
      <w:r>
        <w:t xml:space="preserve">procedures follow the mapping rules and principles as stated in the CLMS N2K Nomenclature and Mapping Guideline (AD01). This documentation refers specifically to object delineation; MMU and MMW; feature extraction priority rules; water level mapping rules; handling of geometric inconsistencies between the reference years; inclusion of additional data sources and the application of standardized data attributes. Feature delineation is applied at a 1:5.000 mapping scale.</w:t>
      </w:r>
    </w:p>
    <w:p>
      <w:pPr>
        <w:pStyle w:val="BodyText"/>
      </w:pPr>
      <w:r>
        <w:rPr>
          <w:b/>
          <w:bCs/>
        </w:rPr>
        <w:t xml:space="preserve">Mapping LC/LU Status</w:t>
      </w:r>
    </w:p>
    <w:p>
      <w:pPr>
        <w:pStyle w:val="BodyText"/>
      </w:pPr>
      <w:r>
        <w:t xml:space="preserve">The LC/LU status is mapped through a visual interpretation and object delineation using the above specified VHR data as primary data source. The type of LC/LU is classified according to the CLMS N2K Nomenclature and Mapping Guideline document (AD01). A minimum mapping unit (MMU) of ≥ 0.5 ha for all objects applies. A minimum width (MMW) of ≥ 10 m is defined. MMU exceptions are allowed for:</w:t>
      </w:r>
    </w:p>
    <w:p>
      <w:pPr>
        <w:numPr>
          <w:ilvl w:val="0"/>
          <w:numId w:val="1037"/>
        </w:numPr>
      </w:pPr>
      <w:r>
        <w:t xml:space="preserve">Objects located at a CLMS N2K product border: If an object is cut at a border, the feature is mapped, if the whole object (inside and outside the border) would amount to ≥ 0.5 ha. However, the MMU of those divided features lying inside the site shall have a MMU of at least ≥ 0.1 ha. Smaller objects will be generalized.</w:t>
      </w:r>
    </w:p>
    <w:p>
      <w:pPr>
        <w:numPr>
          <w:ilvl w:val="0"/>
          <w:numId w:val="1037"/>
        </w:numPr>
      </w:pPr>
      <w:r>
        <w:t xml:space="preserve">Complex changes (see changes examples below).</w:t>
      </w:r>
    </w:p>
    <w:p>
      <w:pPr>
        <w:numPr>
          <w:ilvl w:val="0"/>
          <w:numId w:val="1037"/>
        </w:numPr>
      </w:pPr>
      <w:r>
        <w:t xml:space="preserve">Linear features (roads, railways, rivers) that are split in two or more polygons by other linear elements (e.g. the road/railway network) will be mapped even if the resulting segments are smaller than the MMU in order to preserve the network. However, features &lt; 0.1 ha will be generalized.</w:t>
      </w:r>
    </w:p>
    <w:p>
      <w:pPr>
        <w:numPr>
          <w:ilvl w:val="0"/>
          <w:numId w:val="1037"/>
        </w:numPr>
      </w:pPr>
      <w:r>
        <w:t xml:space="preserve">Urban objects which are confined by roads or railways. Features &lt; 0.25 ha will be generalized.</w:t>
      </w:r>
    </w:p>
    <w:p>
      <w:pPr>
        <w:pStyle w:val="FirstParagraph"/>
      </w:pPr>
      <w:r>
        <w:t xml:space="preserve">MMW exceptions are allowed:</w:t>
      </w:r>
    </w:p>
    <w:p>
      <w:pPr>
        <w:pStyle w:val="Compact"/>
        <w:numPr>
          <w:ilvl w:val="0"/>
          <w:numId w:val="1038"/>
        </w:numPr>
      </w:pPr>
      <w:r>
        <w:t xml:space="preserve">To maintain continuity of features with mostly linear nature (Codes 1.2.1, 1.2.2, 6.2.1, 6.2.2, 8.1.1 and 8.1.2), the MMW may fall below the limit of 10 m over a distance of up to 100 m.</w:t>
      </w:r>
    </w:p>
    <w:p>
      <w:pPr>
        <w:pStyle w:val="FirstParagraph"/>
      </w:pPr>
      <w:r>
        <w:rPr>
          <w:b/>
          <w:bCs/>
        </w:rPr>
        <w:t xml:space="preserve">Mapping LC/LU Changes</w:t>
      </w:r>
    </w:p>
    <w:p>
      <w:pPr>
        <w:pStyle w:val="BodyText"/>
      </w:pPr>
      <w:r>
        <w:t xml:space="preserve">Land Cover Changes (LCC) are changes that occur between the different reference timespans 2006 (+/- 2 years), 2012 (+/- 2 years) and the timespan 2018 (+/- 1 year). Differences resulting from different interpretations of the same subject are not considered as change. A change is mapped if it covers over a Minimum Mapping Unit (MMU) of &gt;0.5ha. The mapping is carried out by visual interpretation and comparison of two subsequent reference years (2006-2012, 2012-2018) and their corresponding LC/LU vector data and satellite imagery. Changed areas are directly delineated. In CLMS N2K changes are provided as separate vector products (2006-2012 and 2012-2018).</w:t>
      </w:r>
    </w:p>
    <w:p>
      <w:pPr>
        <w:pStyle w:val="BodyText"/>
      </w:pPr>
      <w:r>
        <w:t xml:space="preserve">Possible prone to change areas are, for example:</w:t>
      </w:r>
    </w:p>
    <w:p>
      <w:pPr>
        <w:numPr>
          <w:ilvl w:val="0"/>
          <w:numId w:val="1039"/>
        </w:numPr>
      </w:pPr>
      <w:r>
        <w:t xml:space="preserve">Construction sites;</w:t>
      </w:r>
    </w:p>
    <w:p>
      <w:pPr>
        <w:numPr>
          <w:ilvl w:val="0"/>
          <w:numId w:val="1039"/>
        </w:numPr>
      </w:pPr>
      <w:r>
        <w:t xml:space="preserve">Abandoned land/grassland/cropland near urban areas;</w:t>
      </w:r>
    </w:p>
    <w:p>
      <w:pPr>
        <w:numPr>
          <w:ilvl w:val="0"/>
          <w:numId w:val="1039"/>
        </w:numPr>
      </w:pPr>
      <w:r>
        <w:t xml:space="preserve">Damaged forest indicates that a regrowth of forest should appear;</w:t>
      </w:r>
    </w:p>
    <w:p>
      <w:pPr>
        <w:numPr>
          <w:ilvl w:val="0"/>
          <w:numId w:val="1039"/>
        </w:numPr>
      </w:pPr>
      <w:r>
        <w:t xml:space="preserve">Transitional woodland indicates that a regrowth of forest should appear.</w:t>
      </w:r>
    </w:p>
    <w:p>
      <w:pPr>
        <w:pStyle w:val="FirstParagraph"/>
      </w:pPr>
      <w:r>
        <w:t xml:space="preserve">Interpreters must be aware that not every change visible on the images should be treated as changes, e.g.:</w:t>
      </w:r>
    </w:p>
    <w:p>
      <w:pPr>
        <w:numPr>
          <w:ilvl w:val="0"/>
          <w:numId w:val="1040"/>
        </w:numPr>
      </w:pPr>
      <w:r>
        <w:t xml:space="preserve">transient phenomena such as floods and temporary water-logging;</w:t>
      </w:r>
    </w:p>
    <w:p>
      <w:pPr>
        <w:numPr>
          <w:ilvl w:val="0"/>
          <w:numId w:val="1040"/>
        </w:numPr>
      </w:pPr>
      <w:r>
        <w:t xml:space="preserve">seasonal changes in Natural vegetation;</w:t>
      </w:r>
    </w:p>
    <w:p>
      <w:pPr>
        <w:numPr>
          <w:ilvl w:val="0"/>
          <w:numId w:val="1040"/>
        </w:numPr>
      </w:pPr>
      <w:r>
        <w:t xml:space="preserve">seasonal changes in agriculture, such as effects of crop rotation on arable land;</w:t>
      </w:r>
    </w:p>
    <w:p>
      <w:pPr>
        <w:numPr>
          <w:ilvl w:val="0"/>
          <w:numId w:val="1040"/>
        </w:numPr>
      </w:pPr>
      <w:r>
        <w:t xml:space="preserve">forest plantation growth, still not reaching the height and/or canopy closure of forest;</w:t>
      </w:r>
    </w:p>
    <w:p>
      <w:pPr>
        <w:numPr>
          <w:ilvl w:val="0"/>
          <w:numId w:val="1040"/>
        </w:numPr>
      </w:pPr>
      <w:r>
        <w:t xml:space="preserve">seasonal changes of water level;</w:t>
      </w:r>
    </w:p>
    <w:p>
      <w:pPr>
        <w:numPr>
          <w:ilvl w:val="0"/>
          <w:numId w:val="1040"/>
        </w:numPr>
      </w:pPr>
      <w:r>
        <w:t xml:space="preserve">temporal changes in water cover of fishpond cassettes being part of their management;</w:t>
      </w:r>
    </w:p>
    <w:p>
      <w:pPr>
        <w:numPr>
          <w:ilvl w:val="0"/>
          <w:numId w:val="1040"/>
        </w:numPr>
      </w:pPr>
      <w:r>
        <w:t xml:space="preserve">seasonal changes of snow spots in high mountains.</w:t>
      </w:r>
    </w:p>
    <w:p>
      <w:pPr>
        <w:pStyle w:val="FirstParagraph"/>
      </w:pPr>
      <w:r>
        <w:t xml:space="preserve">The introduction of false changes must also be avoided. Many of these can and should be excluded by pure logics. These vary from country to country (e.g. while normally sea water do not change into pasture, it might happen in the Netherlands), thus following examples are not exhaustive and not binding for all cases. However, in most cases they can be considered valid.</w:t>
      </w:r>
    </w:p>
    <w:p>
      <w:pPr>
        <w:pStyle w:val="BodyText"/>
      </w:pPr>
      <w:r>
        <w:t xml:space="preserve">Highly non-probable changes are for example:</w:t>
      </w:r>
    </w:p>
    <w:p>
      <w:pPr>
        <w:numPr>
          <w:ilvl w:val="0"/>
          <w:numId w:val="1041"/>
        </w:numPr>
      </w:pPr>
      <w:r>
        <w:t xml:space="preserve">Urban areas to non-urban classes (1.1.1 🡺 2.-8.x.x): urban areas seldomly disappear</w:t>
      </w:r>
    </w:p>
    <w:p>
      <w:pPr>
        <w:numPr>
          <w:ilvl w:val="0"/>
          <w:numId w:val="1041"/>
        </w:numPr>
      </w:pPr>
      <w:r>
        <w:t xml:space="preserve">Conversion of a highly modified water course (e.g. canal) to a new class (8.1.2 🡺 X.X.X)</w:t>
      </w:r>
    </w:p>
    <w:p>
      <w:pPr>
        <w:pStyle w:val="FirstParagraph"/>
      </w:pPr>
      <w:r>
        <w:t xml:space="preserve">Being the most frequently occurring change type, changes &gt; 0.5 ha connected to an existing CLMS N2K polygon are always mapped. In the following example scheme an existing urban site has been enlarged by more than 0.5ha between the reference year t0 (1.1.1) and the reference year t+1.</w:t>
      </w:r>
    </w:p>
    <w:p>
      <w:pPr>
        <w:pStyle w:val="CaptionedFigure"/>
      </w:pPr>
      <w:r>
        <w:drawing>
          <wp:inline>
            <wp:extent cx="5943600" cy="1728439"/>
            <wp:effectExtent b="0" l="0" r="0" t="0"/>
            <wp:docPr descr="Figure 15: Simple change mapping" title="" id="132" name="Picture"/>
            <a:graphic>
              <a:graphicData uri="http://schemas.openxmlformats.org/drawingml/2006/picture">
                <pic:pic>
                  <pic:nvPicPr>
                    <pic:cNvPr descr="N2K_Land_Cover_Land_Use_Product_User_Manual-media/image29.png" id="133" name="Picture"/>
                    <pic:cNvPicPr>
                      <a:picLocks noChangeArrowheads="1" noChangeAspect="1"/>
                    </pic:cNvPicPr>
                  </pic:nvPicPr>
                  <pic:blipFill>
                    <a:blip r:embed="rId131"/>
                    <a:stretch>
                      <a:fillRect/>
                    </a:stretch>
                  </pic:blipFill>
                  <pic:spPr bwMode="auto">
                    <a:xfrm>
                      <a:off x="0" y="0"/>
                      <a:ext cx="5943600" cy="1728439"/>
                    </a:xfrm>
                    <a:prstGeom prst="rect">
                      <a:avLst/>
                    </a:prstGeom>
                    <a:noFill/>
                    <a:ln w="9525">
                      <a:noFill/>
                      <a:headEnd/>
                      <a:tailEnd/>
                    </a:ln>
                  </pic:spPr>
                </pic:pic>
              </a:graphicData>
            </a:graphic>
          </wp:inline>
        </w:drawing>
      </w:r>
    </w:p>
    <w:p>
      <w:pPr>
        <w:pStyle w:val="ImageCaption"/>
      </w:pPr>
      <w:r>
        <w:t xml:space="preserve">Figure 15: Simple change mapping</w:t>
      </w:r>
    </w:p>
    <w:p>
      <w:pPr>
        <w:pStyle w:val="BodyText"/>
      </w:pPr>
      <w:r>
        <w:t xml:space="preserve">Although the MMU for change mapping is 0.5 ha, in some cases single changes &lt; 0.5 ha are also mapped together. When a polygon, existing for the reference year t0, is split at the later t1 reference into several other areas (e.g. a road construction, urban growth, …), the individually connected change parts can be mapped together, if they make up a ≥ 0.5 ha complex change polygon. Resulting polygons in the database &lt;0.5ha receive the COMMENT attribute</w:t>
      </w:r>
      <w:r>
        <w:t xml:space="preserve"> </w:t>
      </w:r>
      <w:r>
        <w:t xml:space="preserve">“Area size exception (inside Natura2000 AoI boundary)”</w:t>
      </w:r>
      <w:r>
        <w:t xml:space="preserve"> </w:t>
      </w:r>
      <w:r>
        <w:t xml:space="preserve">(see chapter Technical specification and AD01).</w:t>
      </w:r>
    </w:p>
    <w:p>
      <w:pPr>
        <w:pStyle w:val="CaptionedFigure"/>
      </w:pPr>
      <w:r>
        <w:drawing>
          <wp:inline>
            <wp:extent cx="5943600" cy="1767016"/>
            <wp:effectExtent b="0" l="0" r="0" t="0"/>
            <wp:docPr descr="Figure 16: Complex change mapping. Individual changes with each MMU &lt; 0.5 ha make up a change area of 0.5 ha." title="" id="135" name="Picture"/>
            <a:graphic>
              <a:graphicData uri="http://schemas.openxmlformats.org/drawingml/2006/picture">
                <pic:pic>
                  <pic:nvPicPr>
                    <pic:cNvPr descr="N2K_Land_Cover_Land_Use_Product_User_Manual-media/image30.png" id="136" name="Picture"/>
                    <pic:cNvPicPr>
                      <a:picLocks noChangeArrowheads="1" noChangeAspect="1"/>
                    </pic:cNvPicPr>
                  </pic:nvPicPr>
                  <pic:blipFill>
                    <a:blip r:embed="rId134"/>
                    <a:stretch>
                      <a:fillRect/>
                    </a:stretch>
                  </pic:blipFill>
                  <pic:spPr bwMode="auto">
                    <a:xfrm>
                      <a:off x="0" y="0"/>
                      <a:ext cx="5943600" cy="1767016"/>
                    </a:xfrm>
                    <a:prstGeom prst="rect">
                      <a:avLst/>
                    </a:prstGeom>
                    <a:noFill/>
                    <a:ln w="9525">
                      <a:noFill/>
                      <a:headEnd/>
                      <a:tailEnd/>
                    </a:ln>
                  </pic:spPr>
                </pic:pic>
              </a:graphicData>
            </a:graphic>
          </wp:inline>
        </w:drawing>
      </w:r>
    </w:p>
    <w:p>
      <w:pPr>
        <w:pStyle w:val="ImageCaption"/>
      </w:pPr>
      <w:r>
        <w:t xml:space="preserve">Figure 16: Complex change mapping. Individual changes with each MMU &lt; 0.5 ha make up a change area of 0.5 ha.</w:t>
      </w:r>
    </w:p>
    <w:p>
      <w:pPr>
        <w:pStyle w:val="BodyText"/>
      </w:pPr>
      <w:r>
        <w:t xml:space="preserve">“Splitted”</w:t>
      </w:r>
      <w:r>
        <w:t xml:space="preserve"> </w:t>
      </w:r>
      <w:r>
        <w:t xml:space="preserve">changes can also lead to change polygons &lt;0.5ha. In the example scheme below, an existing industrial site exists in the image t0, but is not mapped in the CLMS N2K product for t0, because it is below the MMU (&lt;0.5ha). The site has enlarged between t0 and t+1 and now forms together an area &gt;0.5ha. The small industrial area from t0</w:t>
      </w:r>
      <w:r>
        <w:t xml:space="preserve"> </w:t>
      </w:r>
      <w:r>
        <w:t xml:space="preserve">“changes”</w:t>
      </w:r>
      <w:r>
        <w:t xml:space="preserve"> </w:t>
      </w:r>
      <w:r>
        <w:t xml:space="preserve">now as well and forms together with the actual change a complex change area. The formerly too small area receives the COMMENT</w:t>
      </w:r>
      <w:r>
        <w:t xml:space="preserve"> </w:t>
      </w:r>
      <w:r>
        <w:t xml:space="preserve">“Splitted change”</w:t>
      </w:r>
      <w:r>
        <w:t xml:space="preserve">.</w:t>
      </w:r>
    </w:p>
    <w:p>
      <w:pPr>
        <w:pStyle w:val="CaptionedFigure"/>
      </w:pPr>
      <w:r>
        <w:drawing>
          <wp:inline>
            <wp:extent cx="5943600" cy="1725320"/>
            <wp:effectExtent b="0" l="0" r="0" t="0"/>
            <wp:docPr descr="Figure 17: New established feature with splitted change." title="" id="138" name="Picture"/>
            <a:graphic>
              <a:graphicData uri="http://schemas.openxmlformats.org/drawingml/2006/picture">
                <pic:pic>
                  <pic:nvPicPr>
                    <pic:cNvPr descr="N2K_Land_Cover_Land_Use_Product_User_Manual-media/image31.png" id="139" name="Picture"/>
                    <pic:cNvPicPr>
                      <a:picLocks noChangeArrowheads="1" noChangeAspect="1"/>
                    </pic:cNvPicPr>
                  </pic:nvPicPr>
                  <pic:blipFill>
                    <a:blip r:embed="rId137"/>
                    <a:stretch>
                      <a:fillRect/>
                    </a:stretch>
                  </pic:blipFill>
                  <pic:spPr bwMode="auto">
                    <a:xfrm>
                      <a:off x="0" y="0"/>
                      <a:ext cx="5943600" cy="1725320"/>
                    </a:xfrm>
                    <a:prstGeom prst="rect">
                      <a:avLst/>
                    </a:prstGeom>
                    <a:noFill/>
                    <a:ln w="9525">
                      <a:noFill/>
                      <a:headEnd/>
                      <a:tailEnd/>
                    </a:ln>
                  </pic:spPr>
                </pic:pic>
              </a:graphicData>
            </a:graphic>
          </wp:inline>
        </w:drawing>
      </w:r>
    </w:p>
    <w:p>
      <w:pPr>
        <w:pStyle w:val="ImageCaption"/>
      </w:pPr>
      <w:r>
        <w:t xml:space="preserve">Figure 17: New established feature with splitted change.</w:t>
      </w:r>
    </w:p>
    <w:p>
      <w:pPr>
        <w:pStyle w:val="BodyText"/>
      </w:pPr>
      <w:r>
        <w:t xml:space="preserve">Exceptions for a polygon &lt;0.5 ha are also allowed for unchanged areas in relation to a change situation. In the following example, an existing road in t0 is relocated. Previous road sections change to an urban class (1.1.1) and previous urban area changes to new road (1.2.1) in t+1. A small road section (&lt;0.5 ha) remains as road over the years and does not change. It gets the comment</w:t>
      </w:r>
      <w:r>
        <w:t xml:space="preserve"> </w:t>
      </w:r>
      <w:r>
        <w:t xml:space="preserve">“Areas related to change”</w:t>
      </w:r>
      <w:r>
        <w:t xml:space="preserve"> </w:t>
      </w:r>
      <w:r>
        <w:t xml:space="preserve">in the CLMS N2K product.</w:t>
      </w:r>
    </w:p>
    <w:p>
      <w:pPr>
        <w:pStyle w:val="CaptionedFigure"/>
      </w:pPr>
      <w:r>
        <w:drawing>
          <wp:inline>
            <wp:extent cx="5943600" cy="1738881"/>
            <wp:effectExtent b="0" l="0" r="0" t="0"/>
            <wp:docPr descr="Figure 18: Area related to change within road relocation." title="" id="141" name="Picture"/>
            <a:graphic>
              <a:graphicData uri="http://schemas.openxmlformats.org/drawingml/2006/picture">
                <pic:pic>
                  <pic:nvPicPr>
                    <pic:cNvPr descr="N2K_Land_Cover_Land_Use_Product_User_Manual-media/image32.png" id="142" name="Picture"/>
                    <pic:cNvPicPr>
                      <a:picLocks noChangeArrowheads="1" noChangeAspect="1"/>
                    </pic:cNvPicPr>
                  </pic:nvPicPr>
                  <pic:blipFill>
                    <a:blip r:embed="rId140"/>
                    <a:stretch>
                      <a:fillRect/>
                    </a:stretch>
                  </pic:blipFill>
                  <pic:spPr bwMode="auto">
                    <a:xfrm>
                      <a:off x="0" y="0"/>
                      <a:ext cx="5943600" cy="1738881"/>
                    </a:xfrm>
                    <a:prstGeom prst="rect">
                      <a:avLst/>
                    </a:prstGeom>
                    <a:noFill/>
                    <a:ln w="9525">
                      <a:noFill/>
                      <a:headEnd/>
                      <a:tailEnd/>
                    </a:ln>
                  </pic:spPr>
                </pic:pic>
              </a:graphicData>
            </a:graphic>
          </wp:inline>
        </w:drawing>
      </w:r>
    </w:p>
    <w:p>
      <w:pPr>
        <w:pStyle w:val="ImageCaption"/>
      </w:pPr>
      <w:r>
        <w:t xml:space="preserve">Figure 18: Area related to change within road relocation.</w:t>
      </w:r>
    </w:p>
    <w:p>
      <w:r>
        <w:br w:type="page"/>
      </w:r>
    </w:p>
    <w:bookmarkEnd w:id="143"/>
    <w:bookmarkEnd w:id="144"/>
    <w:bookmarkStart w:id="151" w:name="quality-assessment"/>
    <w:p>
      <w:pPr>
        <w:pStyle w:val="Heading1"/>
      </w:pPr>
      <w:r>
        <w:t xml:space="preserve">7. Quality assessment</w:t>
      </w:r>
    </w:p>
    <w:bookmarkStart w:id="147" w:name="internal-thematic-validation"/>
    <w:p>
      <w:pPr>
        <w:pStyle w:val="Heading2"/>
      </w:pPr>
      <w:r>
        <w:t xml:space="preserve">7.1 Internal thematic validation</w:t>
      </w:r>
    </w:p>
    <w:p>
      <w:pPr>
        <w:pStyle w:val="FirstParagraph"/>
      </w:pPr>
      <w:r>
        <w:t xml:space="preserve">For each CLMS N2K product a thematic validation was performed by the service providers (internal thematic validation). The assessment is based on a scientifically and statistically sound stratification and sampling scheme, tailored to assessing the thematic accuracy of the N2K LC/LU status and change layers.</w:t>
      </w:r>
    </w:p>
    <w:p>
      <w:pPr>
        <w:pStyle w:val="BodyText"/>
      </w:pPr>
      <w:r>
        <w:t xml:space="preserve">During the production phase of the 2018 update the following accuracies applied to these products:</w:t>
      </w:r>
    </w:p>
    <w:p>
      <w:pPr>
        <w:numPr>
          <w:ilvl w:val="0"/>
          <w:numId w:val="1042"/>
        </w:numPr>
      </w:pPr>
      <w:r>
        <w:t xml:space="preserve">CLMS N2K LC/LU status map 2012 and 2018: ≥ 85 % overall accuracy and ≥ 80 % for class-specific user’s and producer’s accuracies</w:t>
      </w:r>
    </w:p>
    <w:p>
      <w:pPr>
        <w:numPr>
          <w:ilvl w:val="0"/>
          <w:numId w:val="1042"/>
        </w:numPr>
      </w:pPr>
      <w:r>
        <w:t xml:space="preserve">CLMS N2K LC/LU change map 2012-2018: ≥ 85 % overall accuracy and ≥ 80 % for class-specific user’s and producer’s accuracies</w:t>
      </w:r>
    </w:p>
    <w:p>
      <w:pPr>
        <w:pStyle w:val="FirstParagraph"/>
      </w:pPr>
      <w:r>
        <w:t xml:space="preserve">The 2012 and 2006 products have been validated after the production phase by an independent service provider (see AD 02).</w:t>
      </w:r>
    </w:p>
    <w:p>
      <w:pPr>
        <w:pStyle w:val="BodyText"/>
      </w:pPr>
      <w:r>
        <w:rPr>
          <w:b/>
          <w:bCs/>
        </w:rPr>
        <w:t xml:space="preserve">Sampling Design and Stratification</w:t>
      </w:r>
    </w:p>
    <w:p>
      <w:pPr>
        <w:pStyle w:val="BodyText"/>
      </w:pPr>
      <w:r>
        <w:t xml:space="preserve">The thematic accuracy assessment for the CLMS N2K is based on a stratified random point sampling scheme, in which all areas have a known non-zero probability of sampling. To assess overall and class-specific accuracies, stratifications are conducted on the LC/LU code level 4 (status layer), as well as on omission and commission strata (change layer).</w:t>
      </w:r>
    </w:p>
    <w:p>
      <w:pPr>
        <w:pStyle w:val="BodyText"/>
      </w:pPr>
      <w:r>
        <w:rPr>
          <w:b/>
          <w:bCs/>
        </w:rPr>
        <w:t xml:space="preserve">Response Design</w:t>
      </w:r>
    </w:p>
    <w:p>
      <w:pPr>
        <w:pStyle w:val="BodyText"/>
      </w:pPr>
      <w:r>
        <w:t xml:space="preserve">All sample points were re-interpreted at Code level 4 during the validation. This step was performed as a visual interpretation by independent, well-trained operators, who were not involved in the production itself, using the applicable Very High-Resolution (VHR) satellite data defined in the production. When re-interpreting the LC/LU sample points, the response design had to respect the latest product specifications and N2K nomenclature guidelines.</w:t>
      </w:r>
    </w:p>
    <w:p>
      <w:pPr>
        <w:pStyle w:val="BodyText"/>
      </w:pPr>
      <w:r>
        <w:rPr>
          <w:b/>
          <w:bCs/>
        </w:rPr>
        <w:t xml:space="preserve">Validation results</w:t>
      </w:r>
    </w:p>
    <w:p>
      <w:pPr>
        <w:pStyle w:val="BodyText"/>
      </w:pPr>
      <w:r>
        <w:t xml:space="preserve">To keep full statistical rigor and representativeness, and account for unequal inclusion probabilities and the relative occurrence of classes, area related weights were applied according to the area ratio for each class compared to the overall area. To deal with very imbalanced and skewed ratios between changed and unchanged areas at class level 1, an area restriction was implemented to reduce the area weight of polygons &gt; 100ha.</w:t>
      </w:r>
    </w:p>
    <w:p>
      <w:pPr>
        <w:pStyle w:val="BodyText"/>
      </w:pPr>
      <w:r>
        <w:t xml:space="preserve">The results of the internal validation proved the sufficient thematic quality of CLMS N2K products, as can be seen in the following tables.</w:t>
      </w:r>
    </w:p>
    <w:p>
      <w:pPr>
        <w:pStyle w:val="BodyText"/>
      </w:pPr>
      <w:r>
        <w:t xml:space="preserve">Full details on the class specific user and producer accuracy results can be found in the ANNEX of this document.</w:t>
      </w:r>
    </w:p>
    <w:p>
      <w:pPr>
        <w:pStyle w:val="TableCaption"/>
      </w:pPr>
      <w:r>
        <w:t xml:space="preserve">Table 11: LC/LU internal</w:t>
      </w:r>
      <w:r>
        <w:t xml:space="preserve"> </w:t>
      </w:r>
      <w:r>
        <w:rPr>
          <w:rStyle w:val="FootnoteReference"/>
        </w:rPr>
        <w:footnoteReference w:id="145"/>
      </w:r>
      <w:r>
        <w:t xml:space="preserve">accuracy assessment - unweighted results per product</w:t>
      </w:r>
    </w:p>
    <w:tbl>
      <w:tblPr>
        <w:tblStyle w:val="Table"/>
        <w:tblW w:type="pct" w:w="4941"/>
        <w:tblLayout w:type="fixed"/>
        <w:tblLook w:firstRow="1" w:lastRow="0" w:firstColumn="0" w:lastColumn="0" w:noHBand="0" w:noVBand="0" w:val="0020"/>
        <w:tblCaption w:val="Table 11: LC/LU internal accuracy assessment - unweighted results per product"/>
      </w:tblPr>
      <w:tblGrid>
        <w:gridCol w:w="3139"/>
        <w:gridCol w:w="1499"/>
        <w:gridCol w:w="1405"/>
        <w:gridCol w:w="1780"/>
      </w:tblGrid>
      <w:tr>
        <w:trPr>
          <w:tblHeader w:val="on"/>
        </w:trPr>
        <w:tc>
          <w:tcPr/>
          <w:p>
            <w:pPr>
              <w:pStyle w:val="Compact"/>
            </w:pPr>
          </w:p>
        </w:tc>
        <w:tc>
          <w:tcPr/>
          <w:p>
            <w:pPr>
              <w:pStyle w:val="Compact"/>
              <w:jc w:val="left"/>
            </w:pPr>
            <w:r>
              <w:rPr>
                <w:b/>
                <w:bCs/>
              </w:rPr>
              <w:t xml:space="preserve">Thematic accuracy [%]</w:t>
            </w:r>
          </w:p>
        </w:tc>
        <w:tc>
          <w:tcPr/>
          <w:p>
            <w:pPr>
              <w:pStyle w:val="Compact"/>
              <w:jc w:val="left"/>
            </w:pPr>
            <w:r>
              <w:rPr>
                <w:b/>
                <w:bCs/>
              </w:rPr>
              <w:t xml:space="preserve">Confidence* Interval</w:t>
            </w:r>
          </w:p>
        </w:tc>
        <w:tc>
          <w:tcPr/>
          <w:p>
            <w:pPr>
              <w:pStyle w:val="Compact"/>
              <w:jc w:val="left"/>
            </w:pPr>
            <w:r>
              <w:rPr>
                <w:b/>
                <w:bCs/>
              </w:rPr>
              <w:t xml:space="preserve">No. of assessed sample points</w:t>
            </w:r>
          </w:p>
        </w:tc>
      </w:tr>
      <w:tr>
        <w:tc>
          <w:tcPr/>
          <w:p>
            <w:pPr>
              <w:pStyle w:val="Compact"/>
              <w:jc w:val="left"/>
            </w:pPr>
            <w:r>
              <w:t xml:space="preserve">LC/LU 2012 overall unweighted accuracy</w:t>
            </w:r>
          </w:p>
        </w:tc>
        <w:tc>
          <w:tcPr/>
          <w:p>
            <w:pPr>
              <w:pStyle w:val="Compact"/>
              <w:jc w:val="left"/>
            </w:pPr>
            <w:r>
              <w:t xml:space="preserve">96.52 %</w:t>
            </w:r>
          </w:p>
        </w:tc>
        <w:tc>
          <w:tcPr/>
          <w:p>
            <w:pPr>
              <w:pStyle w:val="Compact"/>
              <w:jc w:val="left"/>
            </w:pPr>
            <w:r>
              <w:t xml:space="preserve">0.20 %</w:t>
            </w:r>
          </w:p>
        </w:tc>
        <w:tc>
          <w:tcPr/>
          <w:p>
            <w:pPr>
              <w:pStyle w:val="Compact"/>
              <w:jc w:val="left"/>
            </w:pPr>
            <w:r>
              <w:t xml:space="preserve">30 203</w:t>
            </w:r>
          </w:p>
        </w:tc>
      </w:tr>
      <w:tr>
        <w:tc>
          <w:tcPr/>
          <w:p>
            <w:pPr>
              <w:pStyle w:val="Compact"/>
              <w:jc w:val="left"/>
            </w:pPr>
            <w:r>
              <w:t xml:space="preserve">LC/LU 2018 overall unweighted accuracy</w:t>
            </w:r>
          </w:p>
        </w:tc>
        <w:tc>
          <w:tcPr/>
          <w:p>
            <w:pPr>
              <w:pStyle w:val="Compact"/>
              <w:jc w:val="left"/>
            </w:pPr>
            <w:r>
              <w:t xml:space="preserve">96.22 %</w:t>
            </w:r>
          </w:p>
        </w:tc>
        <w:tc>
          <w:tcPr/>
          <w:p>
            <w:pPr>
              <w:pStyle w:val="Compact"/>
              <w:jc w:val="left"/>
            </w:pPr>
            <w:r>
              <w:t xml:space="preserve">0.21 %</w:t>
            </w:r>
          </w:p>
        </w:tc>
        <w:tc>
          <w:tcPr/>
          <w:p>
            <w:pPr>
              <w:pStyle w:val="Compact"/>
              <w:jc w:val="left"/>
            </w:pPr>
            <w:r>
              <w:t xml:space="preserve">30 203</w:t>
            </w:r>
          </w:p>
        </w:tc>
      </w:tr>
      <w:tr>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LC/LU change 2012-2018 overall unweighted accuracy for level 4</w:t>
            </w:r>
          </w:p>
        </w:tc>
        <w:tc>
          <w:tcPr/>
          <w:p>
            <w:pPr>
              <w:pStyle w:val="Compact"/>
              <w:jc w:val="left"/>
            </w:pPr>
            <w:r>
              <w:t xml:space="preserve">97.85 %</w:t>
            </w:r>
          </w:p>
        </w:tc>
        <w:tc>
          <w:tcPr/>
          <w:p>
            <w:pPr>
              <w:pStyle w:val="Compact"/>
              <w:jc w:val="left"/>
            </w:pPr>
            <w:r>
              <w:t xml:space="preserve">0.16 %</w:t>
            </w:r>
          </w:p>
        </w:tc>
        <w:tc>
          <w:tcPr/>
          <w:p>
            <w:pPr>
              <w:pStyle w:val="Compact"/>
              <w:jc w:val="left"/>
            </w:pPr>
            <w:r>
              <w:t xml:space="preserve">29 088</w:t>
            </w:r>
          </w:p>
        </w:tc>
      </w:tr>
      <w:tr>
        <w:tc>
          <w:tcPr/>
          <w:p>
            <w:pPr>
              <w:pStyle w:val="Compact"/>
              <w:jc w:val="left"/>
            </w:pPr>
            <w:r>
              <w:t xml:space="preserve">LC/LU change 2012-2018 overall unweighted accuracy for level 1</w:t>
            </w:r>
          </w:p>
        </w:tc>
        <w:tc>
          <w:tcPr/>
          <w:p>
            <w:pPr>
              <w:pStyle w:val="Compact"/>
              <w:jc w:val="left"/>
            </w:pPr>
            <w:r>
              <w:t xml:space="preserve">98.61 %</w:t>
            </w:r>
          </w:p>
        </w:tc>
        <w:tc>
          <w:tcPr/>
          <w:p>
            <w:pPr>
              <w:pStyle w:val="Compact"/>
              <w:jc w:val="left"/>
            </w:pPr>
            <w:r>
              <w:t xml:space="preserve">0.13 %</w:t>
            </w:r>
          </w:p>
        </w:tc>
        <w:tc>
          <w:tcPr/>
          <w:p>
            <w:pPr>
              <w:pStyle w:val="Compact"/>
              <w:jc w:val="left"/>
            </w:pPr>
            <w:r>
              <w:t xml:space="preserve">29 088</w:t>
            </w:r>
          </w:p>
        </w:tc>
      </w:tr>
    </w:tbl>
    <w:p>
      <w:pPr>
        <w:pStyle w:val="BlockText"/>
      </w:pPr>
      <w:r>
        <w:rPr>
          <w:i/>
          <w:iCs/>
        </w:rPr>
        <w:t xml:space="preserve">*at a 95% confidence level</w:t>
      </w:r>
    </w:p>
    <w:p>
      <w:pPr>
        <w:pStyle w:val="TableCaption"/>
      </w:pPr>
      <w:r>
        <w:t xml:space="preserve">Table 12: LC/LU internal</w:t>
      </w:r>
      <w:r>
        <w:rPr>
          <w:rStyle w:val="FootnoteReference"/>
        </w:rPr>
        <w:footnoteReference w:id="146"/>
      </w:r>
      <w:r>
        <w:t xml:space="preserve"> </w:t>
      </w:r>
      <w:r>
        <w:t xml:space="preserve">accuracy assessment - weighted results per product</w:t>
      </w:r>
    </w:p>
    <w:tbl>
      <w:tblPr>
        <w:tblStyle w:val="Table"/>
        <w:tblW w:type="pct" w:w="4940"/>
        <w:tblLayout w:type="fixed"/>
        <w:tblLook w:firstRow="1" w:lastRow="0" w:firstColumn="0" w:lastColumn="0" w:noHBand="0" w:noVBand="0" w:val="0020"/>
        <w:tblCaption w:val="Table 12: LC/LU internal accuracy assessment - weighted results per product"/>
      </w:tblPr>
      <w:tblGrid>
        <w:gridCol w:w="3082"/>
        <w:gridCol w:w="1517"/>
        <w:gridCol w:w="1422"/>
        <w:gridCol w:w="1802"/>
      </w:tblGrid>
      <w:tr>
        <w:trPr>
          <w:tblHeader w:val="on"/>
        </w:trPr>
        <w:tc>
          <w:tcPr/>
          <w:p>
            <w:pPr>
              <w:pStyle w:val="Compact"/>
            </w:pPr>
          </w:p>
        </w:tc>
        <w:tc>
          <w:tcPr/>
          <w:p>
            <w:pPr>
              <w:pStyle w:val="Compact"/>
              <w:jc w:val="left"/>
            </w:pPr>
            <w:r>
              <w:rPr>
                <w:b/>
                <w:bCs/>
              </w:rPr>
              <w:t xml:space="preserve">Thematic accuracy [%]</w:t>
            </w:r>
          </w:p>
        </w:tc>
        <w:tc>
          <w:tcPr/>
          <w:p>
            <w:pPr>
              <w:pStyle w:val="Compact"/>
              <w:jc w:val="left"/>
            </w:pPr>
            <w:r>
              <w:rPr>
                <w:b/>
                <w:bCs/>
              </w:rPr>
              <w:t xml:space="preserve">Confidence* Interval</w:t>
            </w:r>
          </w:p>
        </w:tc>
        <w:tc>
          <w:tcPr/>
          <w:p>
            <w:pPr>
              <w:pStyle w:val="Compact"/>
              <w:jc w:val="left"/>
            </w:pPr>
            <w:r>
              <w:rPr>
                <w:b/>
                <w:bCs/>
              </w:rPr>
              <w:t xml:space="preserve">No. of assessed sample points</w:t>
            </w:r>
          </w:p>
        </w:tc>
      </w:tr>
      <w:tr>
        <w:tc>
          <w:tcPr/>
          <w:p>
            <w:pPr>
              <w:pStyle w:val="Compact"/>
              <w:jc w:val="left"/>
            </w:pPr>
            <w:r>
              <w:t xml:space="preserve">LC/LU 2012 overall weighted accuracy</w:t>
            </w:r>
          </w:p>
        </w:tc>
        <w:tc>
          <w:tcPr/>
          <w:p>
            <w:pPr>
              <w:pStyle w:val="Compact"/>
              <w:jc w:val="left"/>
            </w:pPr>
            <w:r>
              <w:t xml:space="preserve">96.80 %</w:t>
            </w:r>
          </w:p>
        </w:tc>
        <w:tc>
          <w:tcPr/>
          <w:p>
            <w:pPr>
              <w:pStyle w:val="Compact"/>
              <w:jc w:val="left"/>
            </w:pPr>
            <w:r>
              <w:t xml:space="preserve">0.21 %</w:t>
            </w:r>
          </w:p>
        </w:tc>
        <w:tc>
          <w:tcPr/>
          <w:p>
            <w:pPr>
              <w:pStyle w:val="Compact"/>
              <w:jc w:val="left"/>
            </w:pPr>
            <w:r>
              <w:t xml:space="preserve">30 203</w:t>
            </w:r>
          </w:p>
        </w:tc>
      </w:tr>
      <w:tr>
        <w:tc>
          <w:tcPr/>
          <w:p>
            <w:pPr>
              <w:pStyle w:val="Compact"/>
              <w:jc w:val="left"/>
            </w:pPr>
            <w:r>
              <w:t xml:space="preserve">LC/LU 2018 overall weighted accuracy</w:t>
            </w:r>
          </w:p>
        </w:tc>
        <w:tc>
          <w:tcPr/>
          <w:p>
            <w:pPr>
              <w:pStyle w:val="Compact"/>
              <w:jc w:val="left"/>
            </w:pPr>
            <w:r>
              <w:t xml:space="preserve">96.67 %</w:t>
            </w:r>
          </w:p>
        </w:tc>
        <w:tc>
          <w:tcPr/>
          <w:p>
            <w:pPr>
              <w:pStyle w:val="Compact"/>
              <w:jc w:val="left"/>
            </w:pPr>
            <w:r>
              <w:t xml:space="preserve">0.21 %</w:t>
            </w:r>
          </w:p>
        </w:tc>
        <w:tc>
          <w:tcPr/>
          <w:p>
            <w:pPr>
              <w:pStyle w:val="Compact"/>
              <w:jc w:val="left"/>
            </w:pPr>
            <w:r>
              <w:t xml:space="preserve">30 203</w:t>
            </w:r>
          </w:p>
        </w:tc>
      </w:tr>
      <w:tr>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LC/LU change 2012-2018 overall weighted accuracy for level 4</w:t>
            </w:r>
          </w:p>
        </w:tc>
        <w:tc>
          <w:tcPr/>
          <w:p>
            <w:pPr>
              <w:pStyle w:val="Compact"/>
              <w:jc w:val="left"/>
            </w:pPr>
            <w:r>
              <w:t xml:space="preserve">98.64 %</w:t>
            </w:r>
          </w:p>
        </w:tc>
        <w:tc>
          <w:tcPr/>
          <w:p>
            <w:pPr>
              <w:pStyle w:val="Compact"/>
              <w:jc w:val="left"/>
            </w:pPr>
            <w:r>
              <w:t xml:space="preserve">0.12 %</w:t>
            </w:r>
          </w:p>
        </w:tc>
        <w:tc>
          <w:tcPr/>
          <w:p>
            <w:pPr>
              <w:pStyle w:val="Compact"/>
              <w:jc w:val="left"/>
            </w:pPr>
            <w:r>
              <w:t xml:space="preserve">29 088</w:t>
            </w:r>
          </w:p>
        </w:tc>
      </w:tr>
      <w:tr>
        <w:tc>
          <w:tcPr/>
          <w:p>
            <w:pPr>
              <w:pStyle w:val="Compact"/>
              <w:jc w:val="left"/>
            </w:pPr>
            <w:r>
              <w:t xml:space="preserve">LC/LU change 2012-2018 overall weighted accuracy for level 1</w:t>
            </w:r>
          </w:p>
        </w:tc>
        <w:tc>
          <w:tcPr/>
          <w:p>
            <w:pPr>
              <w:pStyle w:val="Compact"/>
              <w:jc w:val="left"/>
            </w:pPr>
            <w:r>
              <w:t xml:space="preserve">99.33 %</w:t>
            </w:r>
          </w:p>
        </w:tc>
        <w:tc>
          <w:tcPr/>
          <w:p>
            <w:pPr>
              <w:pStyle w:val="Compact"/>
              <w:jc w:val="left"/>
            </w:pPr>
            <w:r>
              <w:t xml:space="preserve">0.08 %</w:t>
            </w:r>
          </w:p>
        </w:tc>
        <w:tc>
          <w:tcPr/>
          <w:p>
            <w:pPr>
              <w:pStyle w:val="Compact"/>
              <w:jc w:val="left"/>
            </w:pPr>
            <w:r>
              <w:t xml:space="preserve">29 088</w:t>
            </w:r>
          </w:p>
        </w:tc>
      </w:tr>
    </w:tbl>
    <w:p>
      <w:pPr>
        <w:pStyle w:val="BlockText"/>
      </w:pPr>
      <w:r>
        <w:rPr>
          <w:i/>
          <w:iCs/>
        </w:rPr>
        <w:t xml:space="preserve">*at a 95% confidence level</w:t>
      </w:r>
    </w:p>
    <w:p>
      <w:pPr>
        <w:pStyle w:val="TableCaption"/>
      </w:pPr>
      <w:r>
        <w:t xml:space="preserve">Table 13: Unweighted User’s and Producer’s Accuracies for the Change Layer 2012 – 2018</w:t>
      </w:r>
    </w:p>
    <w:tbl>
      <w:tblPr>
        <w:tblStyle w:val="Table"/>
        <w:tblW w:type="pct" w:w="4787"/>
        <w:tblLayout w:type="fixed"/>
        <w:tblLook w:firstRow="1" w:lastRow="0" w:firstColumn="0" w:lastColumn="0" w:noHBand="0" w:noVBand="0" w:val="0020"/>
        <w:tblCaption w:val="Table 13: Unweighted User’s and Producer’s Accuracies for the Change Layer 2012 – 2018"/>
      </w:tblPr>
      <w:tblGrid>
        <w:gridCol w:w="1014"/>
        <w:gridCol w:w="1062"/>
        <w:gridCol w:w="724"/>
        <w:gridCol w:w="627"/>
        <w:gridCol w:w="724"/>
        <w:gridCol w:w="1255"/>
        <w:gridCol w:w="820"/>
        <w:gridCol w:w="627"/>
        <w:gridCol w:w="724"/>
      </w:tblGrid>
      <w:tr>
        <w:trPr>
          <w:tblHeader w:val="on"/>
        </w:trPr>
        <w:tc>
          <w:tcPr/>
          <w:p>
            <w:pPr>
              <w:pStyle w:val="Compact"/>
            </w:pPr>
          </w:p>
        </w:tc>
        <w:tc>
          <w:tcPr>
            <w:gridSpan w:val="4"/>
          </w:tcPr>
          <w:p>
            <w:pPr>
              <w:pStyle w:val="Compact"/>
              <w:jc w:val="center"/>
            </w:pPr>
            <w:r>
              <w:rPr>
                <w:b/>
                <w:bCs/>
              </w:rPr>
              <w:t xml:space="preserve">User’s Accuracy</w:t>
            </w:r>
          </w:p>
        </w:tc>
        <w:tc>
          <w:tcPr>
            <w:gridSpan w:val="4"/>
          </w:tcPr>
          <w:p>
            <w:pPr>
              <w:pStyle w:val="Compact"/>
              <w:jc w:val="center"/>
            </w:pPr>
            <w:r>
              <w:rPr>
                <w:b/>
                <w:bCs/>
              </w:rPr>
              <w:t xml:space="preserve">Producer’s Accuracy</w:t>
            </w:r>
          </w:p>
        </w:tc>
      </w:tr>
      <w:tr>
        <w:tc>
          <w:tcPr/>
          <w:p>
            <w:pPr>
              <w:pStyle w:val="Compact"/>
              <w:jc w:val="center"/>
            </w:pPr>
            <w:r>
              <w:rPr>
                <w:b/>
                <w:bCs/>
              </w:rPr>
              <w:t xml:space="preserve">Code Level 1</w:t>
            </w:r>
          </w:p>
        </w:tc>
        <w:tc>
          <w:tcPr/>
          <w:p>
            <w:pPr>
              <w:pStyle w:val="Compact"/>
              <w:jc w:val="center"/>
            </w:pPr>
            <w:r>
              <w:rPr>
                <w:b/>
                <w:bCs/>
              </w:rPr>
              <w:t xml:space="preserve">Non-Change</w:t>
            </w:r>
          </w:p>
        </w:tc>
        <w:tc>
          <w:tcPr/>
          <w:p>
            <w:pPr>
              <w:pStyle w:val="Compact"/>
              <w:jc w:val="center"/>
            </w:pPr>
            <w:r>
              <w:rPr>
                <w:b/>
                <w:bCs/>
              </w:rPr>
              <w:t xml:space="preserve">CI [%]</w:t>
            </w:r>
          </w:p>
        </w:tc>
        <w:tc>
          <w:tcPr/>
          <w:p>
            <w:pPr>
              <w:pStyle w:val="Compact"/>
              <w:jc w:val="center"/>
            </w:pPr>
            <w:r>
              <w:rPr>
                <w:b/>
                <w:bCs/>
              </w:rPr>
              <w:t xml:space="preserve">Change</w:t>
            </w:r>
          </w:p>
        </w:tc>
        <w:tc>
          <w:tcPr/>
          <w:p>
            <w:pPr>
              <w:pStyle w:val="Compact"/>
              <w:jc w:val="center"/>
            </w:pPr>
            <w:r>
              <w:rPr>
                <w:b/>
                <w:bCs/>
              </w:rPr>
              <w:t xml:space="preserve">CI [%]</w:t>
            </w:r>
          </w:p>
        </w:tc>
        <w:tc>
          <w:tcPr/>
          <w:p>
            <w:pPr>
              <w:pStyle w:val="Compact"/>
              <w:jc w:val="center"/>
            </w:pPr>
            <w:r>
              <w:rPr>
                <w:b/>
                <w:bCs/>
              </w:rPr>
              <w:t xml:space="preserve">Non-Change</w:t>
            </w:r>
          </w:p>
        </w:tc>
        <w:tc>
          <w:tcPr/>
          <w:p>
            <w:pPr>
              <w:pStyle w:val="Compact"/>
              <w:jc w:val="center"/>
            </w:pPr>
            <w:r>
              <w:rPr>
                <w:b/>
                <w:bCs/>
              </w:rPr>
              <w:t xml:space="preserve">CI [%]</w:t>
            </w:r>
          </w:p>
        </w:tc>
        <w:tc>
          <w:tcPr/>
          <w:p>
            <w:pPr>
              <w:pStyle w:val="Compact"/>
              <w:jc w:val="center"/>
            </w:pPr>
            <w:r>
              <w:rPr>
                <w:b/>
                <w:bCs/>
              </w:rPr>
              <w:t xml:space="preserve">Change</w:t>
            </w:r>
          </w:p>
        </w:tc>
        <w:tc>
          <w:tcPr/>
          <w:p>
            <w:pPr>
              <w:pStyle w:val="Compact"/>
              <w:jc w:val="center"/>
            </w:pPr>
            <w:r>
              <w:rPr>
                <w:b/>
                <w:bCs/>
              </w:rPr>
              <w:t xml:space="preserve">CI [%]</w:t>
            </w:r>
          </w:p>
        </w:tc>
      </w:tr>
      <w:tr>
        <w:tc>
          <w:tcPr/>
          <w:p>
            <w:pPr>
              <w:pStyle w:val="Compact"/>
              <w:jc w:val="center"/>
            </w:pPr>
            <w:r>
              <w:t xml:space="preserve">Class 1</w:t>
            </w:r>
          </w:p>
        </w:tc>
        <w:tc>
          <w:tcPr/>
          <w:p>
            <w:pPr>
              <w:pStyle w:val="Compact"/>
              <w:jc w:val="center"/>
            </w:pPr>
            <w:r>
              <w:t xml:space="preserve">99.56</w:t>
            </w:r>
          </w:p>
        </w:tc>
        <w:tc>
          <w:tcPr/>
          <w:p>
            <w:pPr>
              <w:pStyle w:val="Compact"/>
              <w:jc w:val="center"/>
            </w:pPr>
            <w:r>
              <w:t xml:space="preserve">0.21</w:t>
            </w:r>
          </w:p>
        </w:tc>
        <w:tc>
          <w:tcPr/>
          <w:p>
            <w:pPr>
              <w:pStyle w:val="Compact"/>
              <w:jc w:val="center"/>
            </w:pPr>
            <w:r>
              <w:t xml:space="preserve">95.47</w:t>
            </w:r>
          </w:p>
        </w:tc>
        <w:tc>
          <w:tcPr/>
          <w:p>
            <w:pPr>
              <w:pStyle w:val="Compact"/>
              <w:jc w:val="center"/>
            </w:pPr>
            <w:r>
              <w:t xml:space="preserve">1.29</w:t>
            </w:r>
          </w:p>
        </w:tc>
        <w:tc>
          <w:tcPr/>
          <w:p>
            <w:pPr>
              <w:pStyle w:val="Compact"/>
              <w:jc w:val="center"/>
            </w:pPr>
            <w:r>
              <w:t xml:space="preserve">98.78</w:t>
            </w:r>
          </w:p>
        </w:tc>
        <w:tc>
          <w:tcPr/>
          <w:p>
            <w:pPr>
              <w:pStyle w:val="Compact"/>
              <w:jc w:val="center"/>
            </w:pPr>
            <w:r>
              <w:t xml:space="preserve">0.34</w:t>
            </w:r>
          </w:p>
        </w:tc>
        <w:tc>
          <w:tcPr/>
          <w:p>
            <w:pPr>
              <w:pStyle w:val="Compact"/>
              <w:jc w:val="center"/>
            </w:pPr>
            <w:r>
              <w:t xml:space="preserve">98.34</w:t>
            </w:r>
          </w:p>
        </w:tc>
        <w:tc>
          <w:tcPr/>
          <w:p>
            <w:pPr>
              <w:pStyle w:val="Compact"/>
              <w:jc w:val="center"/>
            </w:pPr>
            <w:r>
              <w:t xml:space="preserve">0.80</w:t>
            </w:r>
          </w:p>
        </w:tc>
      </w:tr>
      <w:tr>
        <w:tc>
          <w:tcPr/>
          <w:p>
            <w:pPr>
              <w:pStyle w:val="Compact"/>
              <w:jc w:val="center"/>
            </w:pPr>
            <w:r>
              <w:t xml:space="preserve">Class 2</w:t>
            </w:r>
          </w:p>
        </w:tc>
        <w:tc>
          <w:tcPr/>
          <w:p>
            <w:pPr>
              <w:pStyle w:val="Compact"/>
              <w:jc w:val="center"/>
            </w:pPr>
            <w:r>
              <w:t xml:space="preserve">99.66</w:t>
            </w:r>
          </w:p>
        </w:tc>
        <w:tc>
          <w:tcPr/>
          <w:p>
            <w:pPr>
              <w:pStyle w:val="Compact"/>
              <w:jc w:val="center"/>
            </w:pPr>
            <w:r>
              <w:t xml:space="preserve">0.20</w:t>
            </w:r>
          </w:p>
        </w:tc>
        <w:tc>
          <w:tcPr/>
          <w:p>
            <w:pPr>
              <w:pStyle w:val="Compact"/>
              <w:jc w:val="center"/>
            </w:pPr>
            <w:r>
              <w:t xml:space="preserve">96.57</w:t>
            </w:r>
          </w:p>
        </w:tc>
        <w:tc>
          <w:tcPr/>
          <w:p>
            <w:pPr>
              <w:pStyle w:val="Compact"/>
              <w:jc w:val="center"/>
            </w:pPr>
            <w:r>
              <w:t xml:space="preserve">1.10</w:t>
            </w:r>
          </w:p>
        </w:tc>
        <w:tc>
          <w:tcPr/>
          <w:p>
            <w:pPr>
              <w:pStyle w:val="Compact"/>
              <w:jc w:val="center"/>
            </w:pPr>
            <w:r>
              <w:t xml:space="preserve">98.89</w:t>
            </w:r>
          </w:p>
        </w:tc>
        <w:tc>
          <w:tcPr/>
          <w:p>
            <w:pPr>
              <w:pStyle w:val="Compact"/>
              <w:jc w:val="center"/>
            </w:pPr>
            <w:r>
              <w:t xml:space="preserve">0.35</w:t>
            </w:r>
          </w:p>
        </w:tc>
        <w:tc>
          <w:tcPr/>
          <w:p>
            <w:pPr>
              <w:pStyle w:val="Compact"/>
              <w:jc w:val="center"/>
            </w:pPr>
            <w:r>
              <w:t xml:space="preserve">98.93</w:t>
            </w:r>
          </w:p>
        </w:tc>
        <w:tc>
          <w:tcPr/>
          <w:p>
            <w:pPr>
              <w:pStyle w:val="Compact"/>
              <w:jc w:val="center"/>
            </w:pPr>
            <w:r>
              <w:t xml:space="preserve">0.63</w:t>
            </w:r>
          </w:p>
        </w:tc>
      </w:tr>
      <w:tr>
        <w:tc>
          <w:tcPr/>
          <w:p>
            <w:pPr>
              <w:pStyle w:val="Compact"/>
              <w:jc w:val="center"/>
            </w:pPr>
            <w:r>
              <w:t xml:space="preserve">Class 3</w:t>
            </w:r>
          </w:p>
        </w:tc>
        <w:tc>
          <w:tcPr/>
          <w:p>
            <w:pPr>
              <w:pStyle w:val="Compact"/>
              <w:jc w:val="center"/>
            </w:pPr>
            <w:r>
              <w:t xml:space="preserve">99.95</w:t>
            </w:r>
          </w:p>
        </w:tc>
        <w:tc>
          <w:tcPr/>
          <w:p>
            <w:pPr>
              <w:pStyle w:val="Compact"/>
              <w:jc w:val="center"/>
            </w:pPr>
            <w:r>
              <w:t xml:space="preserve">0.06</w:t>
            </w:r>
          </w:p>
        </w:tc>
        <w:tc>
          <w:tcPr/>
          <w:p>
            <w:pPr>
              <w:pStyle w:val="Compact"/>
              <w:jc w:val="center"/>
            </w:pPr>
            <w:r>
              <w:t xml:space="preserve">94.95</w:t>
            </w:r>
          </w:p>
        </w:tc>
        <w:tc>
          <w:tcPr/>
          <w:p>
            <w:pPr>
              <w:pStyle w:val="Compact"/>
              <w:jc w:val="center"/>
            </w:pPr>
            <w:r>
              <w:t xml:space="preserve">1.33</w:t>
            </w:r>
          </w:p>
        </w:tc>
        <w:tc>
          <w:tcPr/>
          <w:p>
            <w:pPr>
              <w:pStyle w:val="Compact"/>
              <w:jc w:val="center"/>
            </w:pPr>
            <w:r>
              <w:t xml:space="preserve">98.82</w:t>
            </w:r>
          </w:p>
        </w:tc>
        <w:tc>
          <w:tcPr/>
          <w:p>
            <w:pPr>
              <w:pStyle w:val="Compact"/>
              <w:jc w:val="center"/>
            </w:pPr>
            <w:r>
              <w:t xml:space="preserve">0.31</w:t>
            </w:r>
          </w:p>
        </w:tc>
        <w:tc>
          <w:tcPr/>
          <w:p>
            <w:pPr>
              <w:pStyle w:val="Compact"/>
              <w:jc w:val="center"/>
            </w:pPr>
            <w:r>
              <w:t xml:space="preserve">99.80</w:t>
            </w:r>
          </w:p>
        </w:tc>
        <w:tc>
          <w:tcPr/>
          <w:p>
            <w:pPr>
              <w:pStyle w:val="Compact"/>
              <w:jc w:val="center"/>
            </w:pPr>
            <w:r>
              <w:t xml:space="preserve">0.28</w:t>
            </w:r>
          </w:p>
        </w:tc>
      </w:tr>
      <w:tr>
        <w:tc>
          <w:tcPr/>
          <w:p>
            <w:pPr>
              <w:pStyle w:val="Compact"/>
              <w:jc w:val="center"/>
            </w:pPr>
            <w:r>
              <w:t xml:space="preserve">Class 4</w:t>
            </w:r>
          </w:p>
        </w:tc>
        <w:tc>
          <w:tcPr/>
          <w:p>
            <w:pPr>
              <w:pStyle w:val="Compact"/>
              <w:jc w:val="center"/>
            </w:pPr>
            <w:r>
              <w:t xml:space="preserve">100.00</w:t>
            </w:r>
          </w:p>
        </w:tc>
        <w:tc>
          <w:tcPr/>
          <w:p>
            <w:pPr>
              <w:pStyle w:val="Compact"/>
              <w:jc w:val="center"/>
            </w:pPr>
            <w:r>
              <w:t xml:space="preserve">0.00</w:t>
            </w:r>
          </w:p>
        </w:tc>
        <w:tc>
          <w:tcPr/>
          <w:p>
            <w:pPr>
              <w:pStyle w:val="Compact"/>
              <w:jc w:val="center"/>
            </w:pPr>
            <w:r>
              <w:t xml:space="preserve">92.94</w:t>
            </w:r>
          </w:p>
        </w:tc>
        <w:tc>
          <w:tcPr/>
          <w:p>
            <w:pPr>
              <w:pStyle w:val="Compact"/>
              <w:jc w:val="center"/>
            </w:pPr>
            <w:r>
              <w:t xml:space="preserve">1.37</w:t>
            </w:r>
          </w:p>
        </w:tc>
        <w:tc>
          <w:tcPr/>
          <w:p>
            <w:pPr>
              <w:pStyle w:val="Compact"/>
              <w:jc w:val="center"/>
            </w:pPr>
            <w:r>
              <w:t xml:space="preserve">94.56</w:t>
            </w:r>
          </w:p>
        </w:tc>
        <w:tc>
          <w:tcPr/>
          <w:p>
            <w:pPr>
              <w:pStyle w:val="Compact"/>
              <w:jc w:val="center"/>
            </w:pPr>
            <w:r>
              <w:t xml:space="preserve">1.00</w:t>
            </w:r>
          </w:p>
        </w:tc>
        <w:tc>
          <w:tcPr/>
          <w:p>
            <w:pPr>
              <w:pStyle w:val="Compact"/>
              <w:jc w:val="center"/>
            </w:pPr>
            <w:r>
              <w:t xml:space="preserve">100.00</w:t>
            </w:r>
          </w:p>
        </w:tc>
        <w:tc>
          <w:tcPr/>
          <w:p>
            <w:pPr>
              <w:pStyle w:val="Compact"/>
              <w:jc w:val="center"/>
            </w:pPr>
            <w:r>
              <w:t xml:space="preserve">0.00</w:t>
            </w:r>
          </w:p>
        </w:tc>
      </w:tr>
      <w:tr>
        <w:tc>
          <w:tcPr/>
          <w:p>
            <w:pPr>
              <w:pStyle w:val="Compact"/>
              <w:jc w:val="center"/>
            </w:pPr>
            <w:r>
              <w:t xml:space="preserve">Class 5</w:t>
            </w:r>
          </w:p>
        </w:tc>
        <w:tc>
          <w:tcPr/>
          <w:p>
            <w:pPr>
              <w:pStyle w:val="Compact"/>
              <w:jc w:val="center"/>
            </w:pPr>
            <w:r>
              <w:t xml:space="preserve">100.00</w:t>
            </w:r>
          </w:p>
        </w:tc>
        <w:tc>
          <w:tcPr/>
          <w:p>
            <w:pPr>
              <w:pStyle w:val="Compact"/>
              <w:jc w:val="center"/>
            </w:pPr>
            <w:r>
              <w:t xml:space="preserve">0.00</w:t>
            </w:r>
          </w:p>
        </w:tc>
        <w:tc>
          <w:tcPr/>
          <w:p>
            <w:pPr>
              <w:pStyle w:val="Compact"/>
              <w:jc w:val="center"/>
            </w:pPr>
            <w:r>
              <w:t xml:space="preserve">96.30</w:t>
            </w:r>
          </w:p>
        </w:tc>
        <w:tc>
          <w:tcPr/>
          <w:p>
            <w:pPr>
              <w:pStyle w:val="Compact"/>
              <w:jc w:val="center"/>
            </w:pPr>
            <w:r>
              <w:t xml:space="preserve">1.20</w:t>
            </w:r>
          </w:p>
        </w:tc>
        <w:tc>
          <w:tcPr/>
          <w:p>
            <w:pPr>
              <w:pStyle w:val="Compact"/>
              <w:jc w:val="center"/>
            </w:pPr>
            <w:r>
              <w:t xml:space="preserve">97.83</w:t>
            </w:r>
          </w:p>
        </w:tc>
        <w:tc>
          <w:tcPr/>
          <w:p>
            <w:pPr>
              <w:pStyle w:val="Compact"/>
              <w:jc w:val="center"/>
            </w:pPr>
            <w:r>
              <w:t xml:space="preserve">0.69</w:t>
            </w:r>
          </w:p>
        </w:tc>
        <w:tc>
          <w:tcPr/>
          <w:p>
            <w:pPr>
              <w:pStyle w:val="Compact"/>
              <w:jc w:val="center"/>
            </w:pPr>
            <w:r>
              <w:t xml:space="preserve">100.00</w:t>
            </w:r>
          </w:p>
        </w:tc>
        <w:tc>
          <w:tcPr/>
          <w:p>
            <w:pPr>
              <w:pStyle w:val="Compact"/>
              <w:jc w:val="center"/>
            </w:pPr>
            <w:r>
              <w:t xml:space="preserve">0.00</w:t>
            </w:r>
          </w:p>
        </w:tc>
      </w:tr>
      <w:tr>
        <w:tc>
          <w:tcPr/>
          <w:p>
            <w:pPr>
              <w:pStyle w:val="Compact"/>
              <w:jc w:val="center"/>
            </w:pPr>
            <w:r>
              <w:t xml:space="preserve">Class 6</w:t>
            </w:r>
          </w:p>
        </w:tc>
        <w:tc>
          <w:tcPr/>
          <w:p>
            <w:pPr>
              <w:pStyle w:val="Compact"/>
              <w:jc w:val="center"/>
            </w:pPr>
            <w:r>
              <w:t xml:space="preserve">99.41</w:t>
            </w:r>
          </w:p>
        </w:tc>
        <w:tc>
          <w:tcPr/>
          <w:p>
            <w:pPr>
              <w:pStyle w:val="Compact"/>
              <w:jc w:val="center"/>
            </w:pPr>
            <w:r>
              <w:t xml:space="preserve">0.32</w:t>
            </w:r>
          </w:p>
        </w:tc>
        <w:tc>
          <w:tcPr/>
          <w:p>
            <w:pPr>
              <w:pStyle w:val="Compact"/>
              <w:jc w:val="center"/>
            </w:pPr>
            <w:r>
              <w:t xml:space="preserve">95.11</w:t>
            </w:r>
          </w:p>
        </w:tc>
        <w:tc>
          <w:tcPr/>
          <w:p>
            <w:pPr>
              <w:pStyle w:val="Compact"/>
              <w:jc w:val="center"/>
            </w:pPr>
            <w:r>
              <w:t xml:space="preserve">1.50</w:t>
            </w:r>
          </w:p>
        </w:tc>
        <w:tc>
          <w:tcPr/>
          <w:p>
            <w:pPr>
              <w:pStyle w:val="Compact"/>
              <w:jc w:val="center"/>
            </w:pPr>
            <w:r>
              <w:t xml:space="preserve">98.24</w:t>
            </w:r>
          </w:p>
        </w:tc>
        <w:tc>
          <w:tcPr/>
          <w:p>
            <w:pPr>
              <w:pStyle w:val="Compact"/>
              <w:jc w:val="center"/>
            </w:pPr>
            <w:r>
              <w:t xml:space="preserve">0.53</w:t>
            </w:r>
          </w:p>
        </w:tc>
        <w:tc>
          <w:tcPr/>
          <w:p>
            <w:pPr>
              <w:pStyle w:val="Compact"/>
              <w:jc w:val="center"/>
            </w:pPr>
            <w:r>
              <w:t xml:space="preserve">98.31</w:t>
            </w:r>
          </w:p>
        </w:tc>
        <w:tc>
          <w:tcPr/>
          <w:p>
            <w:pPr>
              <w:pStyle w:val="Compact"/>
              <w:jc w:val="center"/>
            </w:pPr>
            <w:r>
              <w:t xml:space="preserve">0.90</w:t>
            </w:r>
          </w:p>
        </w:tc>
      </w:tr>
      <w:tr>
        <w:tc>
          <w:tcPr/>
          <w:p>
            <w:pPr>
              <w:pStyle w:val="Compact"/>
              <w:jc w:val="center"/>
            </w:pPr>
            <w:r>
              <w:t xml:space="preserve">Class 7</w:t>
            </w:r>
          </w:p>
        </w:tc>
        <w:tc>
          <w:tcPr/>
          <w:p>
            <w:pPr>
              <w:pStyle w:val="Compact"/>
              <w:jc w:val="center"/>
            </w:pPr>
            <w:r>
              <w:t xml:space="preserve">100.00</w:t>
            </w:r>
          </w:p>
        </w:tc>
        <w:tc>
          <w:tcPr/>
          <w:p>
            <w:pPr>
              <w:pStyle w:val="Compact"/>
              <w:jc w:val="center"/>
            </w:pPr>
            <w:r>
              <w:t xml:space="preserve">0.00</w:t>
            </w:r>
          </w:p>
        </w:tc>
        <w:tc>
          <w:tcPr/>
          <w:p>
            <w:pPr>
              <w:pStyle w:val="Compact"/>
              <w:jc w:val="center"/>
            </w:pPr>
            <w:r>
              <w:t xml:space="preserve">93.76</w:t>
            </w:r>
          </w:p>
        </w:tc>
        <w:tc>
          <w:tcPr/>
          <w:p>
            <w:pPr>
              <w:pStyle w:val="Compact"/>
              <w:jc w:val="center"/>
            </w:pPr>
            <w:r>
              <w:t xml:space="preserve">2.28</w:t>
            </w:r>
          </w:p>
        </w:tc>
        <w:tc>
          <w:tcPr/>
          <w:p>
            <w:pPr>
              <w:pStyle w:val="Compact"/>
              <w:jc w:val="center"/>
            </w:pPr>
            <w:r>
              <w:t xml:space="preserve">98.12</w:t>
            </w:r>
          </w:p>
        </w:tc>
        <w:tc>
          <w:tcPr/>
          <w:p>
            <w:pPr>
              <w:pStyle w:val="Compact"/>
              <w:jc w:val="center"/>
            </w:pPr>
            <w:r>
              <w:t xml:space="preserve">0.67</w:t>
            </w:r>
          </w:p>
        </w:tc>
        <w:tc>
          <w:tcPr/>
          <w:p>
            <w:pPr>
              <w:pStyle w:val="Compact"/>
              <w:jc w:val="center"/>
            </w:pPr>
            <w:r>
              <w:t xml:space="preserve">100.00</w:t>
            </w:r>
          </w:p>
        </w:tc>
        <w:tc>
          <w:tcPr/>
          <w:p>
            <w:pPr>
              <w:pStyle w:val="Compact"/>
              <w:jc w:val="center"/>
            </w:pPr>
            <w:r>
              <w:t xml:space="preserve">0.00</w:t>
            </w:r>
          </w:p>
        </w:tc>
      </w:tr>
      <w:tr>
        <w:tc>
          <w:tcPr/>
          <w:p>
            <w:pPr>
              <w:pStyle w:val="Compact"/>
              <w:jc w:val="center"/>
            </w:pPr>
            <w:r>
              <w:t xml:space="preserve">Class 8</w:t>
            </w:r>
          </w:p>
        </w:tc>
        <w:tc>
          <w:tcPr/>
          <w:p>
            <w:pPr>
              <w:pStyle w:val="Compact"/>
              <w:jc w:val="center"/>
            </w:pPr>
            <w:r>
              <w:t xml:space="preserve">99.68</w:t>
            </w:r>
          </w:p>
        </w:tc>
        <w:tc>
          <w:tcPr/>
          <w:p>
            <w:pPr>
              <w:pStyle w:val="Compact"/>
              <w:jc w:val="center"/>
            </w:pPr>
            <w:r>
              <w:t xml:space="preserve">0.18</w:t>
            </w:r>
          </w:p>
        </w:tc>
        <w:tc>
          <w:tcPr/>
          <w:p>
            <w:pPr>
              <w:pStyle w:val="Compact"/>
              <w:jc w:val="center"/>
            </w:pPr>
            <w:r>
              <w:t xml:space="preserve">96.64</w:t>
            </w:r>
          </w:p>
        </w:tc>
        <w:tc>
          <w:tcPr/>
          <w:p>
            <w:pPr>
              <w:pStyle w:val="Compact"/>
              <w:jc w:val="center"/>
            </w:pPr>
            <w:r>
              <w:t xml:space="preserve">1.53</w:t>
            </w:r>
          </w:p>
        </w:tc>
        <w:tc>
          <w:tcPr/>
          <w:p>
            <w:pPr>
              <w:pStyle w:val="Compact"/>
              <w:jc w:val="center"/>
            </w:pPr>
            <w:r>
              <w:t xml:space="preserve">99.53</w:t>
            </w:r>
          </w:p>
        </w:tc>
        <w:tc>
          <w:tcPr/>
          <w:p>
            <w:pPr>
              <w:pStyle w:val="Compact"/>
              <w:jc w:val="center"/>
            </w:pPr>
            <w:r>
              <w:t xml:space="preserve">0.21</w:t>
            </w:r>
          </w:p>
        </w:tc>
        <w:tc>
          <w:tcPr/>
          <w:p>
            <w:pPr>
              <w:pStyle w:val="Compact"/>
              <w:jc w:val="center"/>
            </w:pPr>
            <w:r>
              <w:t xml:space="preserve">97.73</w:t>
            </w:r>
          </w:p>
        </w:tc>
        <w:tc>
          <w:tcPr/>
          <w:p>
            <w:pPr>
              <w:pStyle w:val="Compact"/>
              <w:jc w:val="center"/>
            </w:pPr>
            <w:r>
              <w:t xml:space="preserve">1.25</w:t>
            </w:r>
          </w:p>
        </w:tc>
      </w:tr>
    </w:tbl>
    <w:p>
      <w:pPr>
        <w:pStyle w:val="BodyText"/>
      </w:pPr>
      <w:r>
        <w:t xml:space="preserve"> </w:t>
      </w:r>
    </w:p>
    <w:p>
      <w:pPr>
        <w:pStyle w:val="TableCaption"/>
      </w:pPr>
      <w:r>
        <w:t xml:space="preserve">Table 14: Area-weighted User’s and Producer’s Accuracies for the Change Layer 2012 – 2018 with area-restriction applied</w:t>
      </w:r>
    </w:p>
    <w:tbl>
      <w:tblPr>
        <w:tblStyle w:val="Table"/>
        <w:tblW w:type="pct" w:w="4787"/>
        <w:tblLayout w:type="fixed"/>
        <w:tblLook w:firstRow="1" w:lastRow="0" w:firstColumn="0" w:lastColumn="0" w:noHBand="0" w:noVBand="0" w:val="0020"/>
        <w:tblCaption w:val="Table 14: Area-weighted User’s and Producer’s Accuracies for the Change Layer 2012 – 2018 with area-restriction applied"/>
      </w:tblPr>
      <w:tblGrid>
        <w:gridCol w:w="1014"/>
        <w:gridCol w:w="1062"/>
        <w:gridCol w:w="724"/>
        <w:gridCol w:w="627"/>
        <w:gridCol w:w="724"/>
        <w:gridCol w:w="1255"/>
        <w:gridCol w:w="820"/>
        <w:gridCol w:w="627"/>
        <w:gridCol w:w="724"/>
      </w:tblGrid>
      <w:tr>
        <w:trPr>
          <w:tblHeader w:val="on"/>
        </w:trPr>
        <w:tc>
          <w:tcPr/>
          <w:p>
            <w:pPr>
              <w:pStyle w:val="Compact"/>
            </w:pPr>
          </w:p>
        </w:tc>
        <w:tc>
          <w:tcPr>
            <w:gridSpan w:val="4"/>
          </w:tcPr>
          <w:p>
            <w:pPr>
              <w:pStyle w:val="Compact"/>
              <w:jc w:val="center"/>
            </w:pPr>
            <w:r>
              <w:rPr>
                <w:b/>
                <w:bCs/>
              </w:rPr>
              <w:t xml:space="preserve">User’s Accuracy</w:t>
            </w:r>
          </w:p>
        </w:tc>
        <w:tc>
          <w:tcPr>
            <w:gridSpan w:val="4"/>
          </w:tcPr>
          <w:p>
            <w:pPr>
              <w:pStyle w:val="Compact"/>
              <w:jc w:val="center"/>
            </w:pPr>
            <w:r>
              <w:rPr>
                <w:b/>
                <w:bCs/>
              </w:rPr>
              <w:t xml:space="preserve">Producer’s Accuracy</w:t>
            </w:r>
          </w:p>
        </w:tc>
      </w:tr>
      <w:tr>
        <w:tc>
          <w:tcPr/>
          <w:p>
            <w:pPr>
              <w:pStyle w:val="Compact"/>
              <w:jc w:val="center"/>
            </w:pPr>
            <w:r>
              <w:rPr>
                <w:b/>
                <w:bCs/>
              </w:rPr>
              <w:t xml:space="preserve">Code Level 1</w:t>
            </w:r>
          </w:p>
        </w:tc>
        <w:tc>
          <w:tcPr/>
          <w:p>
            <w:pPr>
              <w:pStyle w:val="Compact"/>
              <w:jc w:val="center"/>
            </w:pPr>
            <w:r>
              <w:rPr>
                <w:b/>
                <w:bCs/>
              </w:rPr>
              <w:t xml:space="preserve">Non-Change</w:t>
            </w:r>
          </w:p>
        </w:tc>
        <w:tc>
          <w:tcPr/>
          <w:p>
            <w:pPr>
              <w:pStyle w:val="Compact"/>
              <w:jc w:val="center"/>
            </w:pPr>
            <w:r>
              <w:rPr>
                <w:b/>
                <w:bCs/>
              </w:rPr>
              <w:t xml:space="preserve">CI [%]</w:t>
            </w:r>
          </w:p>
        </w:tc>
        <w:tc>
          <w:tcPr/>
          <w:p>
            <w:pPr>
              <w:pStyle w:val="Compact"/>
              <w:jc w:val="center"/>
            </w:pPr>
            <w:r>
              <w:rPr>
                <w:b/>
                <w:bCs/>
              </w:rPr>
              <w:t xml:space="preserve">Change</w:t>
            </w:r>
          </w:p>
        </w:tc>
        <w:tc>
          <w:tcPr/>
          <w:p>
            <w:pPr>
              <w:pStyle w:val="Compact"/>
              <w:jc w:val="center"/>
            </w:pPr>
            <w:r>
              <w:rPr>
                <w:b/>
                <w:bCs/>
              </w:rPr>
              <w:t xml:space="preserve">CI [%]</w:t>
            </w:r>
          </w:p>
        </w:tc>
        <w:tc>
          <w:tcPr/>
          <w:p>
            <w:pPr>
              <w:pStyle w:val="Compact"/>
              <w:jc w:val="center"/>
            </w:pPr>
            <w:r>
              <w:rPr>
                <w:b/>
                <w:bCs/>
              </w:rPr>
              <w:t xml:space="preserve">Non-Change</w:t>
            </w:r>
          </w:p>
        </w:tc>
        <w:tc>
          <w:tcPr/>
          <w:p>
            <w:pPr>
              <w:pStyle w:val="Compact"/>
              <w:jc w:val="center"/>
            </w:pPr>
            <w:r>
              <w:rPr>
                <w:b/>
                <w:bCs/>
              </w:rPr>
              <w:t xml:space="preserve">CI [%]</w:t>
            </w:r>
          </w:p>
        </w:tc>
        <w:tc>
          <w:tcPr/>
          <w:p>
            <w:pPr>
              <w:pStyle w:val="Compact"/>
              <w:jc w:val="center"/>
            </w:pPr>
            <w:r>
              <w:rPr>
                <w:b/>
                <w:bCs/>
              </w:rPr>
              <w:t xml:space="preserve">Change</w:t>
            </w:r>
          </w:p>
        </w:tc>
        <w:tc>
          <w:tcPr/>
          <w:p>
            <w:pPr>
              <w:pStyle w:val="Compact"/>
              <w:jc w:val="center"/>
            </w:pPr>
            <w:r>
              <w:rPr>
                <w:b/>
                <w:bCs/>
              </w:rPr>
              <w:t xml:space="preserve">CI [%]</w:t>
            </w:r>
          </w:p>
        </w:tc>
      </w:tr>
      <w:tr>
        <w:tc>
          <w:tcPr/>
          <w:p>
            <w:pPr>
              <w:pStyle w:val="Compact"/>
              <w:jc w:val="center"/>
            </w:pPr>
            <w:r>
              <w:t xml:space="preserve">Class 1</w:t>
            </w:r>
          </w:p>
        </w:tc>
        <w:tc>
          <w:tcPr/>
          <w:p>
            <w:pPr>
              <w:pStyle w:val="Compact"/>
              <w:jc w:val="center"/>
            </w:pPr>
            <w:r>
              <w:t xml:space="preserve">99.56</w:t>
            </w:r>
          </w:p>
        </w:tc>
        <w:tc>
          <w:tcPr/>
          <w:p>
            <w:pPr>
              <w:pStyle w:val="Compact"/>
              <w:jc w:val="center"/>
            </w:pPr>
            <w:r>
              <w:t xml:space="preserve">0.21</w:t>
            </w:r>
          </w:p>
        </w:tc>
        <w:tc>
          <w:tcPr/>
          <w:p>
            <w:pPr>
              <w:pStyle w:val="Compact"/>
              <w:jc w:val="center"/>
            </w:pPr>
            <w:r>
              <w:t xml:space="preserve">95.47</w:t>
            </w:r>
          </w:p>
        </w:tc>
        <w:tc>
          <w:tcPr/>
          <w:p>
            <w:pPr>
              <w:pStyle w:val="Compact"/>
              <w:jc w:val="center"/>
            </w:pPr>
            <w:r>
              <w:t xml:space="preserve">1.29</w:t>
            </w:r>
          </w:p>
        </w:tc>
        <w:tc>
          <w:tcPr/>
          <w:p>
            <w:pPr>
              <w:pStyle w:val="Compact"/>
              <w:jc w:val="center"/>
            </w:pPr>
            <w:r>
              <w:t xml:space="preserve">99.72</w:t>
            </w:r>
          </w:p>
        </w:tc>
        <w:tc>
          <w:tcPr/>
          <w:p>
            <w:pPr>
              <w:pStyle w:val="Compact"/>
              <w:jc w:val="center"/>
            </w:pPr>
            <w:r>
              <w:t xml:space="preserve">0.08</w:t>
            </w:r>
          </w:p>
        </w:tc>
        <w:tc>
          <w:tcPr/>
          <w:p>
            <w:pPr>
              <w:pStyle w:val="Compact"/>
              <w:jc w:val="center"/>
            </w:pPr>
            <w:r>
              <w:t xml:space="preserve">93.07</w:t>
            </w:r>
          </w:p>
        </w:tc>
        <w:tc>
          <w:tcPr/>
          <w:p>
            <w:pPr>
              <w:pStyle w:val="Compact"/>
              <w:jc w:val="center"/>
            </w:pPr>
            <w:r>
              <w:t xml:space="preserve">3.15</w:t>
            </w:r>
          </w:p>
        </w:tc>
      </w:tr>
      <w:tr>
        <w:tc>
          <w:tcPr/>
          <w:p>
            <w:pPr>
              <w:pStyle w:val="Compact"/>
              <w:jc w:val="center"/>
            </w:pPr>
            <w:r>
              <w:t xml:space="preserve">Class 2</w:t>
            </w:r>
          </w:p>
        </w:tc>
        <w:tc>
          <w:tcPr/>
          <w:p>
            <w:pPr>
              <w:pStyle w:val="Compact"/>
              <w:jc w:val="center"/>
            </w:pPr>
            <w:r>
              <w:t xml:space="preserve">99.66</w:t>
            </w:r>
          </w:p>
        </w:tc>
        <w:tc>
          <w:tcPr/>
          <w:p>
            <w:pPr>
              <w:pStyle w:val="Compact"/>
              <w:jc w:val="center"/>
            </w:pPr>
            <w:r>
              <w:t xml:space="preserve">0.20</w:t>
            </w:r>
          </w:p>
        </w:tc>
        <w:tc>
          <w:tcPr/>
          <w:p>
            <w:pPr>
              <w:pStyle w:val="Compact"/>
              <w:jc w:val="center"/>
            </w:pPr>
            <w:r>
              <w:t xml:space="preserve">96.57</w:t>
            </w:r>
          </w:p>
        </w:tc>
        <w:tc>
          <w:tcPr/>
          <w:p>
            <w:pPr>
              <w:pStyle w:val="Compact"/>
              <w:jc w:val="center"/>
            </w:pPr>
            <w:r>
              <w:t xml:space="preserve">1.10</w:t>
            </w:r>
          </w:p>
        </w:tc>
        <w:tc>
          <w:tcPr/>
          <w:p>
            <w:pPr>
              <w:pStyle w:val="Compact"/>
              <w:jc w:val="center"/>
            </w:pPr>
            <w:r>
              <w:t xml:space="preserve">99.63</w:t>
            </w:r>
          </w:p>
        </w:tc>
        <w:tc>
          <w:tcPr/>
          <w:p>
            <w:pPr>
              <w:pStyle w:val="Compact"/>
              <w:jc w:val="center"/>
            </w:pPr>
            <w:r>
              <w:t xml:space="preserve">0.12</w:t>
            </w:r>
          </w:p>
        </w:tc>
        <w:tc>
          <w:tcPr/>
          <w:p>
            <w:pPr>
              <w:pStyle w:val="Compact"/>
              <w:jc w:val="center"/>
            </w:pPr>
            <w:r>
              <w:t xml:space="preserve">96.82</w:t>
            </w:r>
          </w:p>
        </w:tc>
        <w:tc>
          <w:tcPr/>
          <w:p>
            <w:pPr>
              <w:pStyle w:val="Compact"/>
              <w:jc w:val="center"/>
            </w:pPr>
            <w:r>
              <w:t xml:space="preserve">1.82</w:t>
            </w:r>
          </w:p>
        </w:tc>
      </w:tr>
      <w:tr>
        <w:tc>
          <w:tcPr/>
          <w:p>
            <w:pPr>
              <w:pStyle w:val="Compact"/>
              <w:jc w:val="center"/>
            </w:pPr>
            <w:r>
              <w:t xml:space="preserve">Class 3</w:t>
            </w:r>
          </w:p>
        </w:tc>
        <w:tc>
          <w:tcPr/>
          <w:p>
            <w:pPr>
              <w:pStyle w:val="Compact"/>
              <w:jc w:val="center"/>
            </w:pPr>
            <w:r>
              <w:t xml:space="preserve">99.95</w:t>
            </w:r>
          </w:p>
        </w:tc>
        <w:tc>
          <w:tcPr/>
          <w:p>
            <w:pPr>
              <w:pStyle w:val="Compact"/>
              <w:jc w:val="center"/>
            </w:pPr>
            <w:r>
              <w:t xml:space="preserve">0.06</w:t>
            </w:r>
          </w:p>
        </w:tc>
        <w:tc>
          <w:tcPr/>
          <w:p>
            <w:pPr>
              <w:pStyle w:val="Compact"/>
              <w:jc w:val="center"/>
            </w:pPr>
            <w:r>
              <w:t xml:space="preserve">94.95</w:t>
            </w:r>
          </w:p>
        </w:tc>
        <w:tc>
          <w:tcPr/>
          <w:p>
            <w:pPr>
              <w:pStyle w:val="Compact"/>
              <w:jc w:val="center"/>
            </w:pPr>
            <w:r>
              <w:t xml:space="preserve">1.33</w:t>
            </w:r>
          </w:p>
        </w:tc>
        <w:tc>
          <w:tcPr/>
          <w:p>
            <w:pPr>
              <w:pStyle w:val="Compact"/>
              <w:jc w:val="center"/>
            </w:pPr>
            <w:r>
              <w:t xml:space="preserve">99.31</w:t>
            </w:r>
          </w:p>
        </w:tc>
        <w:tc>
          <w:tcPr/>
          <w:p>
            <w:pPr>
              <w:pStyle w:val="Compact"/>
              <w:jc w:val="center"/>
            </w:pPr>
            <w:r>
              <w:t xml:space="preserve">0.18</w:t>
            </w:r>
          </w:p>
        </w:tc>
        <w:tc>
          <w:tcPr/>
          <w:p>
            <w:pPr>
              <w:pStyle w:val="Compact"/>
              <w:jc w:val="center"/>
            </w:pPr>
            <w:r>
              <w:t xml:space="preserve">99.65</w:t>
            </w:r>
          </w:p>
        </w:tc>
        <w:tc>
          <w:tcPr/>
          <w:p>
            <w:pPr>
              <w:pStyle w:val="Compact"/>
              <w:jc w:val="center"/>
            </w:pPr>
            <w:r>
              <w:t xml:space="preserve">0.48</w:t>
            </w:r>
          </w:p>
        </w:tc>
      </w:tr>
      <w:tr>
        <w:tc>
          <w:tcPr/>
          <w:p>
            <w:pPr>
              <w:pStyle w:val="Compact"/>
              <w:jc w:val="center"/>
            </w:pPr>
            <w:r>
              <w:t xml:space="preserve">Class 4</w:t>
            </w:r>
          </w:p>
        </w:tc>
        <w:tc>
          <w:tcPr/>
          <w:p>
            <w:pPr>
              <w:pStyle w:val="Compact"/>
              <w:jc w:val="center"/>
            </w:pPr>
            <w:r>
              <w:t xml:space="preserve">100.00</w:t>
            </w:r>
          </w:p>
        </w:tc>
        <w:tc>
          <w:tcPr/>
          <w:p>
            <w:pPr>
              <w:pStyle w:val="Compact"/>
              <w:jc w:val="center"/>
            </w:pPr>
            <w:r>
              <w:t xml:space="preserve">0.00</w:t>
            </w:r>
          </w:p>
        </w:tc>
        <w:tc>
          <w:tcPr/>
          <w:p>
            <w:pPr>
              <w:pStyle w:val="Compact"/>
              <w:jc w:val="center"/>
            </w:pPr>
            <w:r>
              <w:t xml:space="preserve">92.94</w:t>
            </w:r>
          </w:p>
        </w:tc>
        <w:tc>
          <w:tcPr/>
          <w:p>
            <w:pPr>
              <w:pStyle w:val="Compact"/>
              <w:jc w:val="center"/>
            </w:pPr>
            <w:r>
              <w:t xml:space="preserve">1.37</w:t>
            </w:r>
          </w:p>
        </w:tc>
        <w:tc>
          <w:tcPr/>
          <w:p>
            <w:pPr>
              <w:pStyle w:val="Compact"/>
              <w:jc w:val="center"/>
            </w:pPr>
            <w:r>
              <w:t xml:space="preserve">98.18</w:t>
            </w:r>
          </w:p>
        </w:tc>
        <w:tc>
          <w:tcPr/>
          <w:p>
            <w:pPr>
              <w:pStyle w:val="Compact"/>
              <w:jc w:val="center"/>
            </w:pPr>
            <w:r>
              <w:t xml:space="preserve">0.35</w:t>
            </w:r>
          </w:p>
        </w:tc>
        <w:tc>
          <w:tcPr/>
          <w:p>
            <w:pPr>
              <w:pStyle w:val="Compact"/>
              <w:jc w:val="center"/>
            </w:pPr>
            <w:r>
              <w:t xml:space="preserve">100.00</w:t>
            </w:r>
          </w:p>
        </w:tc>
        <w:tc>
          <w:tcPr/>
          <w:p>
            <w:pPr>
              <w:pStyle w:val="Compact"/>
              <w:jc w:val="center"/>
            </w:pPr>
            <w:r>
              <w:t xml:space="preserve">0.00</w:t>
            </w:r>
          </w:p>
        </w:tc>
      </w:tr>
      <w:tr>
        <w:tc>
          <w:tcPr/>
          <w:p>
            <w:pPr>
              <w:pStyle w:val="Compact"/>
              <w:jc w:val="center"/>
            </w:pPr>
            <w:r>
              <w:t xml:space="preserve">Class 5</w:t>
            </w:r>
          </w:p>
        </w:tc>
        <w:tc>
          <w:tcPr/>
          <w:p>
            <w:pPr>
              <w:pStyle w:val="Compact"/>
              <w:jc w:val="center"/>
            </w:pPr>
            <w:r>
              <w:t xml:space="preserve">100.00</w:t>
            </w:r>
          </w:p>
        </w:tc>
        <w:tc>
          <w:tcPr/>
          <w:p>
            <w:pPr>
              <w:pStyle w:val="Compact"/>
              <w:jc w:val="center"/>
            </w:pPr>
            <w:r>
              <w:t xml:space="preserve">0.00</w:t>
            </w:r>
          </w:p>
        </w:tc>
        <w:tc>
          <w:tcPr/>
          <w:p>
            <w:pPr>
              <w:pStyle w:val="Compact"/>
              <w:jc w:val="center"/>
            </w:pPr>
            <w:r>
              <w:t xml:space="preserve">96.30</w:t>
            </w:r>
          </w:p>
        </w:tc>
        <w:tc>
          <w:tcPr/>
          <w:p>
            <w:pPr>
              <w:pStyle w:val="Compact"/>
              <w:jc w:val="center"/>
            </w:pPr>
            <w:r>
              <w:t xml:space="preserve">1.20</w:t>
            </w:r>
          </w:p>
        </w:tc>
        <w:tc>
          <w:tcPr/>
          <w:p>
            <w:pPr>
              <w:pStyle w:val="Compact"/>
              <w:jc w:val="center"/>
            </w:pPr>
            <w:r>
              <w:t xml:space="preserve">99.78</w:t>
            </w:r>
          </w:p>
        </w:tc>
        <w:tc>
          <w:tcPr/>
          <w:p>
            <w:pPr>
              <w:pStyle w:val="Compact"/>
              <w:jc w:val="center"/>
            </w:pPr>
            <w:r>
              <w:t xml:space="preserve">0.07</w:t>
            </w:r>
          </w:p>
        </w:tc>
        <w:tc>
          <w:tcPr/>
          <w:p>
            <w:pPr>
              <w:pStyle w:val="Compact"/>
              <w:jc w:val="center"/>
            </w:pPr>
            <w:r>
              <w:t xml:space="preserve">100.00</w:t>
            </w:r>
          </w:p>
        </w:tc>
        <w:tc>
          <w:tcPr/>
          <w:p>
            <w:pPr>
              <w:pStyle w:val="Compact"/>
              <w:jc w:val="center"/>
            </w:pPr>
            <w:r>
              <w:t xml:space="preserve">0.00</w:t>
            </w:r>
          </w:p>
        </w:tc>
      </w:tr>
      <w:tr>
        <w:tc>
          <w:tcPr/>
          <w:p>
            <w:pPr>
              <w:pStyle w:val="Compact"/>
              <w:jc w:val="center"/>
            </w:pPr>
            <w:r>
              <w:t xml:space="preserve">Class 6</w:t>
            </w:r>
          </w:p>
        </w:tc>
        <w:tc>
          <w:tcPr/>
          <w:p>
            <w:pPr>
              <w:pStyle w:val="Compact"/>
              <w:jc w:val="center"/>
            </w:pPr>
            <w:r>
              <w:t xml:space="preserve">99.41</w:t>
            </w:r>
          </w:p>
        </w:tc>
        <w:tc>
          <w:tcPr/>
          <w:p>
            <w:pPr>
              <w:pStyle w:val="Compact"/>
              <w:jc w:val="center"/>
            </w:pPr>
            <w:r>
              <w:t xml:space="preserve">0.32</w:t>
            </w:r>
          </w:p>
        </w:tc>
        <w:tc>
          <w:tcPr/>
          <w:p>
            <w:pPr>
              <w:pStyle w:val="Compact"/>
              <w:jc w:val="center"/>
            </w:pPr>
            <w:r>
              <w:t xml:space="preserve">95.11</w:t>
            </w:r>
          </w:p>
        </w:tc>
        <w:tc>
          <w:tcPr/>
          <w:p>
            <w:pPr>
              <w:pStyle w:val="Compact"/>
              <w:jc w:val="center"/>
            </w:pPr>
            <w:r>
              <w:t xml:space="preserve">1.50</w:t>
            </w:r>
          </w:p>
        </w:tc>
        <w:tc>
          <w:tcPr/>
          <w:p>
            <w:pPr>
              <w:pStyle w:val="Compact"/>
              <w:jc w:val="center"/>
            </w:pPr>
            <w:r>
              <w:t xml:space="preserve">99.61</w:t>
            </w:r>
          </w:p>
        </w:tc>
        <w:tc>
          <w:tcPr/>
          <w:p>
            <w:pPr>
              <w:pStyle w:val="Compact"/>
              <w:jc w:val="center"/>
            </w:pPr>
            <w:r>
              <w:t xml:space="preserve">0.12</w:t>
            </w:r>
          </w:p>
        </w:tc>
        <w:tc>
          <w:tcPr/>
          <w:p>
            <w:pPr>
              <w:pStyle w:val="Compact"/>
              <w:jc w:val="center"/>
            </w:pPr>
            <w:r>
              <w:t xml:space="preserve">92.72</w:t>
            </w:r>
          </w:p>
        </w:tc>
        <w:tc>
          <w:tcPr/>
          <w:p>
            <w:pPr>
              <w:pStyle w:val="Compact"/>
              <w:jc w:val="center"/>
            </w:pPr>
            <w:r>
              <w:t xml:space="preserve">3.66</w:t>
            </w:r>
          </w:p>
        </w:tc>
      </w:tr>
      <w:tr>
        <w:tc>
          <w:tcPr/>
          <w:p>
            <w:pPr>
              <w:pStyle w:val="Compact"/>
              <w:jc w:val="center"/>
            </w:pPr>
            <w:r>
              <w:t xml:space="preserve">Class 7</w:t>
            </w:r>
          </w:p>
        </w:tc>
        <w:tc>
          <w:tcPr/>
          <w:p>
            <w:pPr>
              <w:pStyle w:val="Compact"/>
              <w:jc w:val="center"/>
            </w:pPr>
            <w:r>
              <w:t xml:space="preserve">100.00</w:t>
            </w:r>
          </w:p>
        </w:tc>
        <w:tc>
          <w:tcPr/>
          <w:p>
            <w:pPr>
              <w:pStyle w:val="Compact"/>
              <w:jc w:val="center"/>
            </w:pPr>
            <w:r>
              <w:t xml:space="preserve">0.00</w:t>
            </w:r>
          </w:p>
        </w:tc>
        <w:tc>
          <w:tcPr/>
          <w:p>
            <w:pPr>
              <w:pStyle w:val="Compact"/>
              <w:jc w:val="center"/>
            </w:pPr>
            <w:r>
              <w:t xml:space="preserve">93.76</w:t>
            </w:r>
          </w:p>
        </w:tc>
        <w:tc>
          <w:tcPr/>
          <w:p>
            <w:pPr>
              <w:pStyle w:val="Compact"/>
              <w:jc w:val="center"/>
            </w:pPr>
            <w:r>
              <w:t xml:space="preserve">2.28</w:t>
            </w:r>
          </w:p>
        </w:tc>
        <w:tc>
          <w:tcPr/>
          <w:p>
            <w:pPr>
              <w:pStyle w:val="Compact"/>
              <w:jc w:val="center"/>
            </w:pPr>
            <w:r>
              <w:t xml:space="preserve">99.68</w:t>
            </w:r>
          </w:p>
        </w:tc>
        <w:tc>
          <w:tcPr/>
          <w:p>
            <w:pPr>
              <w:pStyle w:val="Compact"/>
              <w:jc w:val="center"/>
            </w:pPr>
            <w:r>
              <w:t xml:space="preserve">0.12</w:t>
            </w:r>
          </w:p>
        </w:tc>
        <w:tc>
          <w:tcPr/>
          <w:p>
            <w:pPr>
              <w:pStyle w:val="Compact"/>
              <w:jc w:val="center"/>
            </w:pPr>
            <w:r>
              <w:t xml:space="preserve">100.00</w:t>
            </w:r>
          </w:p>
        </w:tc>
        <w:tc>
          <w:tcPr/>
          <w:p>
            <w:pPr>
              <w:pStyle w:val="Compact"/>
              <w:jc w:val="center"/>
            </w:pPr>
            <w:r>
              <w:t xml:space="preserve">0.00</w:t>
            </w:r>
          </w:p>
        </w:tc>
      </w:tr>
      <w:tr>
        <w:tc>
          <w:tcPr/>
          <w:p>
            <w:pPr>
              <w:pStyle w:val="Compact"/>
              <w:jc w:val="center"/>
            </w:pPr>
            <w:r>
              <w:t xml:space="preserve">Class 8</w:t>
            </w:r>
          </w:p>
        </w:tc>
        <w:tc>
          <w:tcPr/>
          <w:p>
            <w:pPr>
              <w:pStyle w:val="Compact"/>
              <w:jc w:val="center"/>
            </w:pPr>
            <w:r>
              <w:t xml:space="preserve">99.68</w:t>
            </w:r>
          </w:p>
        </w:tc>
        <w:tc>
          <w:tcPr/>
          <w:p>
            <w:pPr>
              <w:pStyle w:val="Compact"/>
              <w:jc w:val="center"/>
            </w:pPr>
            <w:r>
              <w:t xml:space="preserve">0.18</w:t>
            </w:r>
          </w:p>
        </w:tc>
        <w:tc>
          <w:tcPr/>
          <w:p>
            <w:pPr>
              <w:pStyle w:val="Compact"/>
              <w:jc w:val="center"/>
            </w:pPr>
            <w:r>
              <w:t xml:space="preserve">96.64</w:t>
            </w:r>
          </w:p>
        </w:tc>
        <w:tc>
          <w:tcPr/>
          <w:p>
            <w:pPr>
              <w:pStyle w:val="Compact"/>
              <w:jc w:val="center"/>
            </w:pPr>
            <w:r>
              <w:t xml:space="preserve">1.53</w:t>
            </w:r>
          </w:p>
        </w:tc>
        <w:tc>
          <w:tcPr/>
          <w:p>
            <w:pPr>
              <w:pStyle w:val="Compact"/>
              <w:jc w:val="center"/>
            </w:pPr>
            <w:r>
              <w:t xml:space="preserve">99.91</w:t>
            </w:r>
          </w:p>
        </w:tc>
        <w:tc>
          <w:tcPr/>
          <w:p>
            <w:pPr>
              <w:pStyle w:val="Compact"/>
              <w:jc w:val="center"/>
            </w:pPr>
            <w:r>
              <w:t xml:space="preserve">0.04</w:t>
            </w:r>
          </w:p>
        </w:tc>
        <w:tc>
          <w:tcPr/>
          <w:p>
            <w:pPr>
              <w:pStyle w:val="Compact"/>
              <w:jc w:val="center"/>
            </w:pPr>
            <w:r>
              <w:t xml:space="preserve">89.19</w:t>
            </w:r>
          </w:p>
        </w:tc>
        <w:tc>
          <w:tcPr/>
          <w:p>
            <w:pPr>
              <w:pStyle w:val="Compact"/>
              <w:jc w:val="center"/>
            </w:pPr>
            <w:r>
              <w:t xml:space="preserve">5.45</w:t>
            </w:r>
          </w:p>
        </w:tc>
      </w:tr>
    </w:tbl>
    <w:p>
      <w:pPr>
        <w:pStyle w:val="BodyText"/>
      </w:pPr>
      <w:r>
        <w:t xml:space="preserve"> </w:t>
      </w:r>
    </w:p>
    <w:p>
      <w:pPr>
        <w:pStyle w:val="TableCaption"/>
      </w:pPr>
      <w:r>
        <w:t xml:space="preserve">Table 15: Area-weighted User’s and Producer’s Accuracies for the Change Layer 2012 – 2018 without area-restriction applied</w:t>
      </w:r>
    </w:p>
    <w:tbl>
      <w:tblPr>
        <w:tblStyle w:val="Table"/>
        <w:tblW w:type="pct" w:w="4787"/>
        <w:tblLayout w:type="fixed"/>
        <w:tblLook w:firstRow="1" w:lastRow="0" w:firstColumn="0" w:lastColumn="0" w:noHBand="0" w:noVBand="0" w:val="0020"/>
        <w:tblCaption w:val="Table 15: Area-weighted User’s and Producer’s Accuracies for the Change Layer 2012 – 2018 without area-restriction applied"/>
      </w:tblPr>
      <w:tblGrid>
        <w:gridCol w:w="1014"/>
        <w:gridCol w:w="1062"/>
        <w:gridCol w:w="724"/>
        <w:gridCol w:w="627"/>
        <w:gridCol w:w="724"/>
        <w:gridCol w:w="1255"/>
        <w:gridCol w:w="820"/>
        <w:gridCol w:w="627"/>
        <w:gridCol w:w="724"/>
      </w:tblGrid>
      <w:tr>
        <w:trPr>
          <w:tblHeader w:val="on"/>
        </w:trPr>
        <w:tc>
          <w:tcPr/>
          <w:p>
            <w:pPr>
              <w:pStyle w:val="Compact"/>
            </w:pPr>
          </w:p>
        </w:tc>
        <w:tc>
          <w:tcPr>
            <w:gridSpan w:val="4"/>
          </w:tcPr>
          <w:p>
            <w:pPr>
              <w:pStyle w:val="Compact"/>
              <w:jc w:val="center"/>
            </w:pPr>
            <w:r>
              <w:rPr>
                <w:b/>
                <w:bCs/>
              </w:rPr>
              <w:t xml:space="preserve">User’s Accuracy</w:t>
            </w:r>
          </w:p>
        </w:tc>
        <w:tc>
          <w:tcPr>
            <w:gridSpan w:val="4"/>
          </w:tcPr>
          <w:p>
            <w:pPr>
              <w:pStyle w:val="Compact"/>
              <w:jc w:val="center"/>
            </w:pPr>
            <w:r>
              <w:rPr>
                <w:b/>
                <w:bCs/>
              </w:rPr>
              <w:t xml:space="preserve">Producer’s Accuracy</w:t>
            </w:r>
          </w:p>
        </w:tc>
      </w:tr>
      <w:tr>
        <w:tc>
          <w:tcPr/>
          <w:p>
            <w:pPr>
              <w:pStyle w:val="Compact"/>
              <w:jc w:val="center"/>
            </w:pPr>
            <w:r>
              <w:rPr>
                <w:b/>
                <w:bCs/>
              </w:rPr>
              <w:t xml:space="preserve">Code Level 1</w:t>
            </w:r>
          </w:p>
        </w:tc>
        <w:tc>
          <w:tcPr/>
          <w:p>
            <w:pPr>
              <w:pStyle w:val="Compact"/>
              <w:jc w:val="center"/>
            </w:pPr>
            <w:r>
              <w:rPr>
                <w:b/>
                <w:bCs/>
              </w:rPr>
              <w:t xml:space="preserve">Non-Change</w:t>
            </w:r>
          </w:p>
        </w:tc>
        <w:tc>
          <w:tcPr/>
          <w:p>
            <w:pPr>
              <w:pStyle w:val="Compact"/>
              <w:jc w:val="center"/>
            </w:pPr>
            <w:r>
              <w:rPr>
                <w:b/>
                <w:bCs/>
              </w:rPr>
              <w:t xml:space="preserve">CI [%]</w:t>
            </w:r>
          </w:p>
        </w:tc>
        <w:tc>
          <w:tcPr/>
          <w:p>
            <w:pPr>
              <w:pStyle w:val="Compact"/>
              <w:jc w:val="center"/>
            </w:pPr>
            <w:r>
              <w:rPr>
                <w:b/>
                <w:bCs/>
              </w:rPr>
              <w:t xml:space="preserve">Change</w:t>
            </w:r>
          </w:p>
        </w:tc>
        <w:tc>
          <w:tcPr/>
          <w:p>
            <w:pPr>
              <w:pStyle w:val="Compact"/>
              <w:jc w:val="center"/>
            </w:pPr>
            <w:r>
              <w:rPr>
                <w:b/>
                <w:bCs/>
              </w:rPr>
              <w:t xml:space="preserve">CI [%]</w:t>
            </w:r>
          </w:p>
        </w:tc>
        <w:tc>
          <w:tcPr/>
          <w:p>
            <w:pPr>
              <w:pStyle w:val="Compact"/>
              <w:jc w:val="center"/>
            </w:pPr>
            <w:r>
              <w:rPr>
                <w:b/>
                <w:bCs/>
              </w:rPr>
              <w:t xml:space="preserve">Non-Change</w:t>
            </w:r>
          </w:p>
        </w:tc>
        <w:tc>
          <w:tcPr/>
          <w:p>
            <w:pPr>
              <w:pStyle w:val="Compact"/>
              <w:jc w:val="center"/>
            </w:pPr>
            <w:r>
              <w:rPr>
                <w:b/>
                <w:bCs/>
              </w:rPr>
              <w:t xml:space="preserve">CI [%]</w:t>
            </w:r>
          </w:p>
        </w:tc>
        <w:tc>
          <w:tcPr/>
          <w:p>
            <w:pPr>
              <w:pStyle w:val="Compact"/>
              <w:jc w:val="center"/>
            </w:pPr>
            <w:r>
              <w:rPr>
                <w:b/>
                <w:bCs/>
              </w:rPr>
              <w:t xml:space="preserve">Change</w:t>
            </w:r>
          </w:p>
        </w:tc>
        <w:tc>
          <w:tcPr/>
          <w:p>
            <w:pPr>
              <w:pStyle w:val="Compact"/>
              <w:jc w:val="center"/>
            </w:pPr>
            <w:r>
              <w:rPr>
                <w:b/>
                <w:bCs/>
              </w:rPr>
              <w:t xml:space="preserve">CI [%]</w:t>
            </w:r>
          </w:p>
        </w:tc>
      </w:tr>
      <w:tr>
        <w:tc>
          <w:tcPr/>
          <w:p>
            <w:pPr>
              <w:pStyle w:val="Compact"/>
              <w:jc w:val="center"/>
            </w:pPr>
            <w:r>
              <w:t xml:space="preserve">Class 1</w:t>
            </w:r>
          </w:p>
        </w:tc>
        <w:tc>
          <w:tcPr/>
          <w:p>
            <w:pPr>
              <w:pStyle w:val="Compact"/>
              <w:jc w:val="center"/>
            </w:pPr>
            <w:r>
              <w:t xml:space="preserve">99.56</w:t>
            </w:r>
          </w:p>
        </w:tc>
        <w:tc>
          <w:tcPr/>
          <w:p>
            <w:pPr>
              <w:pStyle w:val="Compact"/>
              <w:jc w:val="center"/>
            </w:pPr>
            <w:r>
              <w:t xml:space="preserve">0.21</w:t>
            </w:r>
          </w:p>
        </w:tc>
        <w:tc>
          <w:tcPr/>
          <w:p>
            <w:pPr>
              <w:pStyle w:val="Compact"/>
              <w:jc w:val="center"/>
            </w:pPr>
            <w:r>
              <w:t xml:space="preserve">95.47</w:t>
            </w:r>
          </w:p>
        </w:tc>
        <w:tc>
          <w:tcPr/>
          <w:p>
            <w:pPr>
              <w:pStyle w:val="Compact"/>
              <w:jc w:val="center"/>
            </w:pPr>
            <w:r>
              <w:t xml:space="preserve">1.29</w:t>
            </w:r>
          </w:p>
        </w:tc>
        <w:tc>
          <w:tcPr/>
          <w:p>
            <w:pPr>
              <w:pStyle w:val="Compact"/>
              <w:jc w:val="center"/>
            </w:pPr>
            <w:r>
              <w:t xml:space="preserve">99.95</w:t>
            </w:r>
          </w:p>
        </w:tc>
        <w:tc>
          <w:tcPr/>
          <w:p>
            <w:pPr>
              <w:pStyle w:val="Compact"/>
              <w:jc w:val="center"/>
            </w:pPr>
            <w:r>
              <w:t xml:space="preserve">0.01</w:t>
            </w:r>
          </w:p>
        </w:tc>
        <w:tc>
          <w:tcPr/>
          <w:p>
            <w:pPr>
              <w:pStyle w:val="Compact"/>
              <w:jc w:val="center"/>
            </w:pPr>
            <w:r>
              <w:t xml:space="preserve">80.47</w:t>
            </w:r>
          </w:p>
        </w:tc>
        <w:tc>
          <w:tcPr/>
          <w:p>
            <w:pPr>
              <w:pStyle w:val="Compact"/>
              <w:jc w:val="center"/>
            </w:pPr>
            <w:r>
              <w:t xml:space="preserve">10.18</w:t>
            </w:r>
          </w:p>
        </w:tc>
      </w:tr>
      <w:tr>
        <w:tc>
          <w:tcPr/>
          <w:p>
            <w:pPr>
              <w:pStyle w:val="Compact"/>
              <w:jc w:val="center"/>
            </w:pPr>
            <w:r>
              <w:t xml:space="preserve">Class 2</w:t>
            </w:r>
          </w:p>
        </w:tc>
        <w:tc>
          <w:tcPr/>
          <w:p>
            <w:pPr>
              <w:pStyle w:val="Compact"/>
              <w:jc w:val="center"/>
            </w:pPr>
            <w:r>
              <w:t xml:space="preserve">99.66</w:t>
            </w:r>
          </w:p>
        </w:tc>
        <w:tc>
          <w:tcPr/>
          <w:p>
            <w:pPr>
              <w:pStyle w:val="Compact"/>
              <w:jc w:val="center"/>
            </w:pPr>
            <w:r>
              <w:t xml:space="preserve">0.20</w:t>
            </w:r>
          </w:p>
        </w:tc>
        <w:tc>
          <w:tcPr/>
          <w:p>
            <w:pPr>
              <w:pStyle w:val="Compact"/>
              <w:jc w:val="center"/>
            </w:pPr>
            <w:r>
              <w:t xml:space="preserve">96.57</w:t>
            </w:r>
          </w:p>
        </w:tc>
        <w:tc>
          <w:tcPr/>
          <w:p>
            <w:pPr>
              <w:pStyle w:val="Compact"/>
              <w:jc w:val="center"/>
            </w:pPr>
            <w:r>
              <w:t xml:space="preserve">1.10</w:t>
            </w:r>
          </w:p>
        </w:tc>
        <w:tc>
          <w:tcPr/>
          <w:p>
            <w:pPr>
              <w:pStyle w:val="Compact"/>
              <w:jc w:val="center"/>
            </w:pPr>
            <w:r>
              <w:t xml:space="preserve">99.98</w:t>
            </w:r>
          </w:p>
        </w:tc>
        <w:tc>
          <w:tcPr/>
          <w:p>
            <w:pPr>
              <w:pStyle w:val="Compact"/>
              <w:jc w:val="center"/>
            </w:pPr>
            <w:r>
              <w:t xml:space="preserve">0.01</w:t>
            </w:r>
          </w:p>
        </w:tc>
        <w:tc>
          <w:tcPr/>
          <w:p>
            <w:pPr>
              <w:pStyle w:val="Compact"/>
              <w:jc w:val="center"/>
            </w:pPr>
            <w:r>
              <w:t xml:space="preserve">62.30</w:t>
            </w:r>
          </w:p>
        </w:tc>
        <w:tc>
          <w:tcPr/>
          <w:p>
            <w:pPr>
              <w:pStyle w:val="Compact"/>
              <w:jc w:val="center"/>
            </w:pPr>
            <w:r>
              <w:t xml:space="preserve">13.86</w:t>
            </w:r>
          </w:p>
        </w:tc>
      </w:tr>
      <w:tr>
        <w:tc>
          <w:tcPr/>
          <w:p>
            <w:pPr>
              <w:pStyle w:val="Compact"/>
              <w:jc w:val="center"/>
            </w:pPr>
            <w:r>
              <w:t xml:space="preserve">Class 3</w:t>
            </w:r>
          </w:p>
        </w:tc>
        <w:tc>
          <w:tcPr/>
          <w:p>
            <w:pPr>
              <w:pStyle w:val="Compact"/>
              <w:jc w:val="center"/>
            </w:pPr>
            <w:r>
              <w:t xml:space="preserve">99.95</w:t>
            </w:r>
          </w:p>
        </w:tc>
        <w:tc>
          <w:tcPr/>
          <w:p>
            <w:pPr>
              <w:pStyle w:val="Compact"/>
              <w:jc w:val="center"/>
            </w:pPr>
            <w:r>
              <w:t xml:space="preserve">0.06</w:t>
            </w:r>
          </w:p>
        </w:tc>
        <w:tc>
          <w:tcPr/>
          <w:p>
            <w:pPr>
              <w:pStyle w:val="Compact"/>
              <w:jc w:val="center"/>
            </w:pPr>
            <w:r>
              <w:t xml:space="preserve">94.95</w:t>
            </w:r>
          </w:p>
        </w:tc>
        <w:tc>
          <w:tcPr/>
          <w:p>
            <w:pPr>
              <w:pStyle w:val="Compact"/>
              <w:jc w:val="center"/>
            </w:pPr>
            <w:r>
              <w:t xml:space="preserve">1.33</w:t>
            </w:r>
          </w:p>
        </w:tc>
        <w:tc>
          <w:tcPr/>
          <w:p>
            <w:pPr>
              <w:pStyle w:val="Compact"/>
              <w:jc w:val="center"/>
            </w:pPr>
            <w:r>
              <w:t xml:space="preserve">99.93</w:t>
            </w:r>
          </w:p>
        </w:tc>
        <w:tc>
          <w:tcPr/>
          <w:p>
            <w:pPr>
              <w:pStyle w:val="Compact"/>
              <w:jc w:val="center"/>
            </w:pPr>
            <w:r>
              <w:t xml:space="preserve">0.02</w:t>
            </w:r>
          </w:p>
        </w:tc>
        <w:tc>
          <w:tcPr/>
          <w:p>
            <w:pPr>
              <w:pStyle w:val="Compact"/>
              <w:jc w:val="center"/>
            </w:pPr>
            <w:r>
              <w:t xml:space="preserve">96.70</w:t>
            </w:r>
          </w:p>
        </w:tc>
        <w:tc>
          <w:tcPr/>
          <w:p>
            <w:pPr>
              <w:pStyle w:val="Compact"/>
              <w:jc w:val="center"/>
            </w:pPr>
            <w:r>
              <w:t xml:space="preserve">4.43</w:t>
            </w:r>
          </w:p>
        </w:tc>
      </w:tr>
      <w:tr>
        <w:tc>
          <w:tcPr/>
          <w:p>
            <w:pPr>
              <w:pStyle w:val="Compact"/>
              <w:jc w:val="center"/>
            </w:pPr>
            <w:r>
              <w:t xml:space="preserve">Class 4</w:t>
            </w:r>
          </w:p>
        </w:tc>
        <w:tc>
          <w:tcPr/>
          <w:p>
            <w:pPr>
              <w:pStyle w:val="Compact"/>
              <w:jc w:val="center"/>
            </w:pPr>
            <w:r>
              <w:t xml:space="preserve">100.00</w:t>
            </w:r>
          </w:p>
        </w:tc>
        <w:tc>
          <w:tcPr/>
          <w:p>
            <w:pPr>
              <w:pStyle w:val="Compact"/>
              <w:jc w:val="center"/>
            </w:pPr>
            <w:r>
              <w:t xml:space="preserve">0.00</w:t>
            </w:r>
          </w:p>
        </w:tc>
        <w:tc>
          <w:tcPr/>
          <w:p>
            <w:pPr>
              <w:pStyle w:val="Compact"/>
              <w:jc w:val="center"/>
            </w:pPr>
            <w:r>
              <w:t xml:space="preserve">92.94</w:t>
            </w:r>
          </w:p>
        </w:tc>
        <w:tc>
          <w:tcPr/>
          <w:p>
            <w:pPr>
              <w:pStyle w:val="Compact"/>
              <w:jc w:val="center"/>
            </w:pPr>
            <w:r>
              <w:t xml:space="preserve">1.37</w:t>
            </w:r>
          </w:p>
        </w:tc>
        <w:tc>
          <w:tcPr/>
          <w:p>
            <w:pPr>
              <w:pStyle w:val="Compact"/>
              <w:jc w:val="center"/>
            </w:pPr>
            <w:r>
              <w:t xml:space="preserve">99.94</w:t>
            </w:r>
          </w:p>
        </w:tc>
        <w:tc>
          <w:tcPr/>
          <w:p>
            <w:pPr>
              <w:pStyle w:val="Compact"/>
              <w:jc w:val="center"/>
            </w:pPr>
            <w:r>
              <w:t xml:space="preserve">0.01</w:t>
            </w:r>
          </w:p>
        </w:tc>
        <w:tc>
          <w:tcPr/>
          <w:p>
            <w:pPr>
              <w:pStyle w:val="Compact"/>
              <w:jc w:val="center"/>
            </w:pPr>
            <w:r>
              <w:t xml:space="preserve">100.00</w:t>
            </w:r>
          </w:p>
        </w:tc>
        <w:tc>
          <w:tcPr/>
          <w:p>
            <w:pPr>
              <w:pStyle w:val="Compact"/>
              <w:jc w:val="center"/>
            </w:pPr>
            <w:r>
              <w:t xml:space="preserve">0.00</w:t>
            </w:r>
          </w:p>
        </w:tc>
      </w:tr>
      <w:tr>
        <w:tc>
          <w:tcPr/>
          <w:p>
            <w:pPr>
              <w:pStyle w:val="Compact"/>
              <w:jc w:val="center"/>
            </w:pPr>
            <w:r>
              <w:t xml:space="preserve">Class 5</w:t>
            </w:r>
          </w:p>
        </w:tc>
        <w:tc>
          <w:tcPr/>
          <w:p>
            <w:pPr>
              <w:pStyle w:val="Compact"/>
              <w:jc w:val="center"/>
            </w:pPr>
            <w:r>
              <w:t xml:space="preserve">100.00</w:t>
            </w:r>
          </w:p>
        </w:tc>
        <w:tc>
          <w:tcPr/>
          <w:p>
            <w:pPr>
              <w:pStyle w:val="Compact"/>
              <w:jc w:val="center"/>
            </w:pPr>
            <w:r>
              <w:t xml:space="preserve">0.00</w:t>
            </w:r>
          </w:p>
        </w:tc>
        <w:tc>
          <w:tcPr/>
          <w:p>
            <w:pPr>
              <w:pStyle w:val="Compact"/>
              <w:jc w:val="center"/>
            </w:pPr>
            <w:r>
              <w:t xml:space="preserve">96.30</w:t>
            </w:r>
          </w:p>
        </w:tc>
        <w:tc>
          <w:tcPr/>
          <w:p>
            <w:pPr>
              <w:pStyle w:val="Compact"/>
              <w:jc w:val="center"/>
            </w:pPr>
            <w:r>
              <w:t xml:space="preserve">1.20</w:t>
            </w:r>
          </w:p>
        </w:tc>
        <w:tc>
          <w:tcPr/>
          <w:p>
            <w:pPr>
              <w:pStyle w:val="Compact"/>
              <w:jc w:val="center"/>
            </w:pPr>
            <w:r>
              <w:t xml:space="preserve">99.95</w:t>
            </w:r>
          </w:p>
        </w:tc>
        <w:tc>
          <w:tcPr/>
          <w:p>
            <w:pPr>
              <w:pStyle w:val="Compact"/>
              <w:jc w:val="center"/>
            </w:pPr>
            <w:r>
              <w:t xml:space="preserve">0.02</w:t>
            </w:r>
          </w:p>
        </w:tc>
        <w:tc>
          <w:tcPr/>
          <w:p>
            <w:pPr>
              <w:pStyle w:val="Compact"/>
              <w:jc w:val="center"/>
            </w:pPr>
            <w:r>
              <w:t xml:space="preserve">100.00</w:t>
            </w:r>
          </w:p>
        </w:tc>
        <w:tc>
          <w:tcPr/>
          <w:p>
            <w:pPr>
              <w:pStyle w:val="Compact"/>
              <w:jc w:val="center"/>
            </w:pPr>
            <w:r>
              <w:t xml:space="preserve">0.00</w:t>
            </w:r>
          </w:p>
        </w:tc>
      </w:tr>
      <w:tr>
        <w:tc>
          <w:tcPr/>
          <w:p>
            <w:pPr>
              <w:pStyle w:val="Compact"/>
              <w:jc w:val="center"/>
            </w:pPr>
            <w:r>
              <w:t xml:space="preserve">Class 6</w:t>
            </w:r>
          </w:p>
        </w:tc>
        <w:tc>
          <w:tcPr/>
          <w:p>
            <w:pPr>
              <w:pStyle w:val="Compact"/>
              <w:jc w:val="center"/>
            </w:pPr>
            <w:r>
              <w:t xml:space="preserve">99.41</w:t>
            </w:r>
          </w:p>
        </w:tc>
        <w:tc>
          <w:tcPr/>
          <w:p>
            <w:pPr>
              <w:pStyle w:val="Compact"/>
              <w:jc w:val="center"/>
            </w:pPr>
            <w:r>
              <w:t xml:space="preserve">0.32</w:t>
            </w:r>
          </w:p>
        </w:tc>
        <w:tc>
          <w:tcPr/>
          <w:p>
            <w:pPr>
              <w:pStyle w:val="Compact"/>
              <w:jc w:val="center"/>
            </w:pPr>
            <w:r>
              <w:t xml:space="preserve">95.11</w:t>
            </w:r>
          </w:p>
        </w:tc>
        <w:tc>
          <w:tcPr/>
          <w:p>
            <w:pPr>
              <w:pStyle w:val="Compact"/>
              <w:jc w:val="center"/>
            </w:pPr>
            <w:r>
              <w:t xml:space="preserve">1.50</w:t>
            </w:r>
          </w:p>
        </w:tc>
        <w:tc>
          <w:tcPr/>
          <w:p>
            <w:pPr>
              <w:pStyle w:val="Compact"/>
              <w:jc w:val="center"/>
            </w:pPr>
            <w:r>
              <w:t xml:space="preserve">99.93</w:t>
            </w:r>
          </w:p>
        </w:tc>
        <w:tc>
          <w:tcPr/>
          <w:p>
            <w:pPr>
              <w:pStyle w:val="Compact"/>
              <w:jc w:val="center"/>
            </w:pPr>
            <w:r>
              <w:t xml:space="preserve">0.02</w:t>
            </w:r>
          </w:p>
        </w:tc>
        <w:tc>
          <w:tcPr/>
          <w:p>
            <w:pPr>
              <w:pStyle w:val="Compact"/>
              <w:jc w:val="center"/>
            </w:pPr>
            <w:r>
              <w:t xml:space="preserve">78.89</w:t>
            </w:r>
          </w:p>
        </w:tc>
        <w:tc>
          <w:tcPr/>
          <w:p>
            <w:pPr>
              <w:pStyle w:val="Compact"/>
              <w:jc w:val="center"/>
            </w:pPr>
            <w:r>
              <w:t xml:space="preserve">11.62</w:t>
            </w:r>
          </w:p>
        </w:tc>
      </w:tr>
      <w:tr>
        <w:tc>
          <w:tcPr/>
          <w:p>
            <w:pPr>
              <w:pStyle w:val="Compact"/>
              <w:jc w:val="center"/>
            </w:pPr>
            <w:r>
              <w:t xml:space="preserve">Class 7</w:t>
            </w:r>
          </w:p>
        </w:tc>
        <w:tc>
          <w:tcPr/>
          <w:p>
            <w:pPr>
              <w:pStyle w:val="Compact"/>
              <w:jc w:val="center"/>
            </w:pPr>
            <w:r>
              <w:t xml:space="preserve">100.00</w:t>
            </w:r>
          </w:p>
        </w:tc>
        <w:tc>
          <w:tcPr/>
          <w:p>
            <w:pPr>
              <w:pStyle w:val="Compact"/>
              <w:jc w:val="center"/>
            </w:pPr>
            <w:r>
              <w:t xml:space="preserve">0.00</w:t>
            </w:r>
          </w:p>
        </w:tc>
        <w:tc>
          <w:tcPr/>
          <w:p>
            <w:pPr>
              <w:pStyle w:val="Compact"/>
              <w:jc w:val="center"/>
            </w:pPr>
            <w:r>
              <w:t xml:space="preserve">93.76</w:t>
            </w:r>
          </w:p>
        </w:tc>
        <w:tc>
          <w:tcPr/>
          <w:p>
            <w:pPr>
              <w:pStyle w:val="Compact"/>
              <w:jc w:val="center"/>
            </w:pPr>
            <w:r>
              <w:t xml:space="preserve">2.28</w:t>
            </w:r>
          </w:p>
        </w:tc>
        <w:tc>
          <w:tcPr/>
          <w:p>
            <w:pPr>
              <w:pStyle w:val="Compact"/>
              <w:jc w:val="center"/>
            </w:pPr>
            <w:r>
              <w:t xml:space="preserve">99.97</w:t>
            </w:r>
          </w:p>
        </w:tc>
        <w:tc>
          <w:tcPr/>
          <w:p>
            <w:pPr>
              <w:pStyle w:val="Compact"/>
              <w:jc w:val="center"/>
            </w:pPr>
            <w:r>
              <w:t xml:space="preserve">0.01</w:t>
            </w:r>
          </w:p>
        </w:tc>
        <w:tc>
          <w:tcPr/>
          <w:p>
            <w:pPr>
              <w:pStyle w:val="Compact"/>
              <w:jc w:val="center"/>
            </w:pPr>
            <w:r>
              <w:t xml:space="preserve">100.00</w:t>
            </w:r>
          </w:p>
        </w:tc>
        <w:tc>
          <w:tcPr/>
          <w:p>
            <w:pPr>
              <w:pStyle w:val="Compact"/>
              <w:jc w:val="center"/>
            </w:pPr>
            <w:r>
              <w:t xml:space="preserve">0.00</w:t>
            </w:r>
          </w:p>
        </w:tc>
      </w:tr>
      <w:tr>
        <w:tc>
          <w:tcPr/>
          <w:p>
            <w:pPr>
              <w:pStyle w:val="Compact"/>
              <w:jc w:val="center"/>
            </w:pPr>
            <w:r>
              <w:t xml:space="preserve">Class 8</w:t>
            </w:r>
          </w:p>
        </w:tc>
        <w:tc>
          <w:tcPr/>
          <w:p>
            <w:pPr>
              <w:pStyle w:val="Compact"/>
              <w:jc w:val="center"/>
            </w:pPr>
            <w:r>
              <w:t xml:space="preserve">99.68</w:t>
            </w:r>
          </w:p>
        </w:tc>
        <w:tc>
          <w:tcPr/>
          <w:p>
            <w:pPr>
              <w:pStyle w:val="Compact"/>
              <w:jc w:val="center"/>
            </w:pPr>
            <w:r>
              <w:t xml:space="preserve">0.18</w:t>
            </w:r>
          </w:p>
        </w:tc>
        <w:tc>
          <w:tcPr/>
          <w:p>
            <w:pPr>
              <w:pStyle w:val="Compact"/>
              <w:jc w:val="center"/>
            </w:pPr>
            <w:r>
              <w:t xml:space="preserve">96.64</w:t>
            </w:r>
          </w:p>
        </w:tc>
        <w:tc>
          <w:tcPr/>
          <w:p>
            <w:pPr>
              <w:pStyle w:val="Compact"/>
              <w:jc w:val="center"/>
            </w:pPr>
            <w:r>
              <w:t xml:space="preserve">1.53</w:t>
            </w:r>
          </w:p>
        </w:tc>
        <w:tc>
          <w:tcPr/>
          <w:p>
            <w:pPr>
              <w:pStyle w:val="Compact"/>
              <w:jc w:val="center"/>
            </w:pPr>
            <w:r>
              <w:t xml:space="preserve">99.99</w:t>
            </w:r>
          </w:p>
        </w:tc>
        <w:tc>
          <w:tcPr/>
          <w:p>
            <w:pPr>
              <w:pStyle w:val="Compact"/>
              <w:jc w:val="center"/>
            </w:pPr>
            <w:r>
              <w:t xml:space="preserve">0.01</w:t>
            </w:r>
          </w:p>
        </w:tc>
        <w:tc>
          <w:tcPr/>
          <w:p>
            <w:pPr>
              <w:pStyle w:val="Compact"/>
              <w:jc w:val="center"/>
            </w:pPr>
            <w:r>
              <w:t xml:space="preserve">53.48</w:t>
            </w:r>
          </w:p>
        </w:tc>
        <w:tc>
          <w:tcPr/>
          <w:p>
            <w:pPr>
              <w:pStyle w:val="Compact"/>
              <w:jc w:val="center"/>
            </w:pPr>
            <w:r>
              <w:t xml:space="preserve">14.06</w:t>
            </w:r>
          </w:p>
        </w:tc>
      </w:tr>
    </w:tbl>
    <w:bookmarkEnd w:id="147"/>
    <w:bookmarkStart w:id="149" w:name="X1087f33c1ecaaf1a8c0698933d0c7eae09532ce"/>
    <w:p>
      <w:pPr>
        <w:pStyle w:val="Heading2"/>
      </w:pPr>
      <w:r>
        <w:t xml:space="preserve">7.2 Quality Assurance (QA) and Quality Control (QC) measures</w:t>
      </w:r>
    </w:p>
    <w:p>
      <w:pPr>
        <w:pStyle w:val="FirstParagraph"/>
      </w:pPr>
      <w:r>
        <w:t xml:space="preserve">All CLMS N2K products have been produced by service providers with accredited ISO 9001:2015 quality standard management systems. All QA/QC procedures comprise dedicated ongoing quality checks for the various stages of the production workflow, to keep permanent control over the processes and ensure that all quality requirements are constantly met. This includes checks on:</w:t>
      </w:r>
    </w:p>
    <w:p>
      <w:pPr>
        <w:numPr>
          <w:ilvl w:val="0"/>
          <w:numId w:val="1043"/>
        </w:numPr>
      </w:pPr>
      <w:r>
        <w:t xml:space="preserve">Data validity &amp; readability</w:t>
      </w:r>
    </w:p>
    <w:p>
      <w:pPr>
        <w:numPr>
          <w:ilvl w:val="0"/>
          <w:numId w:val="1043"/>
        </w:numPr>
      </w:pPr>
      <w:r>
        <w:t xml:space="preserve">Thematic &amp; Geometric accuracy &amp; consistency</w:t>
      </w:r>
    </w:p>
    <w:p>
      <w:pPr>
        <w:numPr>
          <w:ilvl w:val="0"/>
          <w:numId w:val="1043"/>
        </w:numPr>
      </w:pPr>
      <w:r>
        <w:t xml:space="preserve">Logical / topologic consistency</w:t>
      </w:r>
    </w:p>
    <w:p>
      <w:pPr>
        <w:numPr>
          <w:ilvl w:val="0"/>
          <w:numId w:val="1043"/>
        </w:numPr>
      </w:pPr>
      <w:r>
        <w:t xml:space="preserve">Radiometric quality, cloud coverage, haze, shadows, snow and other data gaps of EO data</w:t>
      </w:r>
    </w:p>
    <w:p>
      <w:pPr>
        <w:numPr>
          <w:ilvl w:val="0"/>
          <w:numId w:val="1043"/>
        </w:numPr>
      </w:pPr>
      <w:r>
        <w:t xml:space="preserve">Thematic coding/attributes</w:t>
      </w:r>
    </w:p>
    <w:p>
      <w:pPr>
        <w:numPr>
          <w:ilvl w:val="0"/>
          <w:numId w:val="1043"/>
        </w:numPr>
      </w:pPr>
      <w:r>
        <w:t xml:space="preserve">Seamless geographic coverage / data completeness</w:t>
      </w:r>
    </w:p>
    <w:p>
      <w:pPr>
        <w:numPr>
          <w:ilvl w:val="0"/>
          <w:numId w:val="1043"/>
        </w:numPr>
      </w:pPr>
      <w:r>
        <w:t xml:space="preserve">Impossible, or unlikely change combination</w:t>
      </w:r>
    </w:p>
    <w:p>
      <w:pPr>
        <w:numPr>
          <w:ilvl w:val="0"/>
          <w:numId w:val="1043"/>
        </w:numPr>
      </w:pPr>
      <w:r>
        <w:t xml:space="preserve">Processing infrastructure performance and backup functionality</w:t>
      </w:r>
    </w:p>
    <w:p>
      <w:pPr>
        <w:numPr>
          <w:ilvl w:val="0"/>
          <w:numId w:val="1043"/>
        </w:numPr>
      </w:pPr>
      <w:r>
        <w:t xml:space="preserve">Metadata completeness and output compliance to INSPIRE</w:t>
      </w:r>
    </w:p>
    <w:p>
      <w:pPr>
        <w:numPr>
          <w:ilvl w:val="0"/>
          <w:numId w:val="1043"/>
        </w:numPr>
      </w:pPr>
      <w:r>
        <w:t xml:space="preserve">EAGLE compliance of the data model</w:t>
      </w:r>
    </w:p>
    <w:p>
      <w:pPr>
        <w:pStyle w:val="FirstParagraph"/>
      </w:pPr>
      <w:r>
        <w:t xml:space="preserve">Besides these internal QA/QC checks by the producing service providers all CLMS N2K products underwent a QC check and approval via the EEA Copernicus Quality tools, a web-based online system designed to quality-check map layers to be submitted to the EEA (</w:t>
      </w:r>
      <w:hyperlink r:id="rId148">
        <w:r>
          <w:rPr>
            <w:rStyle w:val="Hyperlink"/>
          </w:rPr>
          <w:t xml:space="preserve">https://github.com/eea/copernicus_quality_tools</w:t>
        </w:r>
      </w:hyperlink>
      <w:r>
        <w:t xml:space="preserve">).</w:t>
      </w:r>
    </w:p>
    <w:bookmarkEnd w:id="149"/>
    <w:bookmarkStart w:id="150" w:name="external-independent-validation"/>
    <w:p>
      <w:pPr>
        <w:pStyle w:val="Heading2"/>
      </w:pPr>
      <w:r>
        <w:t xml:space="preserve">7.3 External independent validation</w:t>
      </w:r>
    </w:p>
    <w:p>
      <w:pPr>
        <w:pStyle w:val="FirstParagraph"/>
      </w:pPr>
      <w:r>
        <w:t xml:space="preserve">The objective of the external independent validation of CLMS N2K data is to derive thematic accuracy figures, to assess if dataset has reached the accuracy targets.</w:t>
      </w:r>
    </w:p>
    <w:p>
      <w:pPr>
        <w:pStyle w:val="BodyText"/>
      </w:pPr>
      <w:r>
        <w:t xml:space="preserve">Its main goal is to inform users of the databases about quality in quantitative terms. Validation must be based on independent, very-high resolution in-situ data as reference. The date of in-situ data should coincide as much as possible with the acquisition date of satellite images used to derive the N2K product. In-situ data used in the validation should be independent, i.e. must not have been used in compilation of the N2K databases. Experts working on validation also should be independent, not having participated in the mapping exercise.</w:t>
      </w:r>
    </w:p>
    <w:p>
      <w:pPr>
        <w:pStyle w:val="BodyText"/>
      </w:pPr>
      <w:r>
        <w:t xml:space="preserve">Validation in the N2K context means thematic validation.</w:t>
      </w:r>
    </w:p>
    <w:p>
      <w:pPr>
        <w:pStyle w:val="BodyText"/>
      </w:pPr>
      <w:r>
        <w:t xml:space="preserve">Not yet performed at the time of writing this report.</w:t>
      </w:r>
    </w:p>
    <w:p>
      <w:r>
        <w:br w:type="page"/>
      </w:r>
    </w:p>
    <w:bookmarkEnd w:id="150"/>
    <w:bookmarkEnd w:id="151"/>
    <w:bookmarkStart w:id="156" w:name="Xa3c1452ea71086d407b5287beded3ebb3b0e676"/>
    <w:p>
      <w:pPr>
        <w:pStyle w:val="Heading1"/>
      </w:pPr>
      <w:r>
        <w:t xml:space="preserve">8. Terms of use and product technical support</w:t>
      </w:r>
    </w:p>
    <w:bookmarkStart w:id="152" w:name="terms-of-use"/>
    <w:p>
      <w:pPr>
        <w:pStyle w:val="Heading2"/>
      </w:pPr>
      <w:r>
        <w:t xml:space="preserve">8.1 Terms of use</w:t>
      </w:r>
    </w:p>
    <w:p>
      <w:pPr>
        <w:pStyle w:val="FirstParagraph"/>
      </w:pPr>
      <w:r>
        <w:t xml:space="preserve">The product(s) described in this document is/are created in the frame of the Copernicus programme of the European Union by the European Environment Agency (product custodian) and is/are owned by the European Union. The product(s) can be used following Copernicus full free and open data policy, which allows the use of the product(s) also for any commercial purpose. Derived products created by end users from the product(s) described in this document are owned by the end users, who have all intellectual rights to the derived products.</w:t>
      </w:r>
    </w:p>
    <w:bookmarkEnd w:id="152"/>
    <w:bookmarkStart w:id="153" w:name="citation"/>
    <w:p>
      <w:pPr>
        <w:pStyle w:val="Heading2"/>
      </w:pPr>
      <w:r>
        <w:t xml:space="preserve">8.2 Citation</w:t>
      </w:r>
    </w:p>
    <w:p>
      <w:pPr>
        <w:pStyle w:val="FirstParagraph"/>
      </w:pPr>
      <w:r>
        <w:t xml:space="preserve">In cases of re-dissemination of the product(s) described in this document or when the product(s) is/are used to create a derived product it is required to provide a reference to the source. A template is provided below:</w:t>
      </w:r>
    </w:p>
    <w:p>
      <w:pPr>
        <w:pStyle w:val="BodyText"/>
      </w:pPr>
      <w:r>
        <w:rPr>
          <w:i/>
          <w:iCs/>
        </w:rPr>
        <w:t xml:space="preserve">“© European Union, Copernicus Land Monitoring Service &lt;year&gt;, European Environment Agency (EEA)"</w:t>
      </w:r>
    </w:p>
    <w:bookmarkEnd w:id="153"/>
    <w:bookmarkStart w:id="155" w:name="product-technical-support"/>
    <w:p>
      <w:pPr>
        <w:pStyle w:val="Heading2"/>
      </w:pPr>
      <w:r>
        <w:t xml:space="preserve">8.3 Product technical support</w:t>
      </w:r>
    </w:p>
    <w:p>
      <w:pPr>
        <w:pStyle w:val="FirstParagraph"/>
      </w:pPr>
      <w:r>
        <w:t xml:space="preserve">Product technical support is provided by the product custodian through Copernicus Land Monitoring Service helpdesk at</w:t>
      </w:r>
      <w:r>
        <w:t xml:space="preserve"> </w:t>
      </w:r>
      <w:hyperlink r:id="rId154">
        <w:r>
          <w:rPr>
            <w:rStyle w:val="Hyperlink"/>
          </w:rPr>
          <w:t xml:space="preserve">copernicus@eea.europa.eu</w:t>
        </w:r>
      </w:hyperlink>
      <w:r>
        <w:t xml:space="preserve">. Product technical support doesn’t include software specific user support or general GIS or remote sensing support.</w:t>
      </w:r>
    </w:p>
    <w:p>
      <w:r>
        <w:br w:type="page"/>
      </w:r>
    </w:p>
    <w:bookmarkEnd w:id="155"/>
    <w:bookmarkEnd w:id="156"/>
    <w:bookmarkStart w:id="162" w:name="references"/>
    <w:p>
      <w:pPr>
        <w:pStyle w:val="Heading1"/>
      </w:pPr>
      <w:r>
        <w:t xml:space="preserve">9. References</w:t>
      </w:r>
    </w:p>
    <w:p>
      <w:pPr>
        <w:pStyle w:val="FirstParagraph"/>
      </w:pPr>
      <w:r>
        <w:t xml:space="preserve">EC 2019: The European Commission, information. COMMISSION STAFF WORKING DOCUMENT. Expression of User Needs for the Copernicus Programme. Information available at under:</w:t>
      </w:r>
      <w:r>
        <w:t xml:space="preserve"> </w:t>
      </w:r>
      <w:hyperlink r:id="rId157">
        <w:r>
          <w:rPr>
            <w:rStyle w:val="Hyperlink"/>
          </w:rPr>
          <w:t xml:space="preserve">https://knowledge4policy.ec.europa.eu/publication/commission-staff-working-document-expression-user-needs-copernicus-programme_en</w:t>
        </w:r>
      </w:hyperlink>
    </w:p>
    <w:p>
      <w:pPr>
        <w:pStyle w:val="BodyText"/>
      </w:pPr>
      <w:r>
        <w:t xml:space="preserve">EC 2020: EU Biodiversity Strategy for 2030. Bringing nature back into our lives. COM(2020) 380 final. Information available at</w:t>
      </w:r>
      <w:r>
        <w:t xml:space="preserve"> </w:t>
      </w:r>
      <w:hyperlink r:id="rId158">
        <w:r>
          <w:rPr>
            <w:rStyle w:val="Hyperlink"/>
          </w:rPr>
          <w:t xml:space="preserve">https://eur-lex.europa.eu/legal-content/EN/TXT/?qid=1590574123338&amp;uri=CELEX%3A52020DC0380</w:t>
        </w:r>
      </w:hyperlink>
    </w:p>
    <w:p>
      <w:pPr>
        <w:pStyle w:val="BodyText"/>
      </w:pPr>
      <w:r>
        <w:t xml:space="preserve">EEA 1995: European Environment Agency, Corine Land Cover, 01 January 1995. Information available at</w:t>
      </w:r>
      <w:r>
        <w:t xml:space="preserve"> </w:t>
      </w:r>
      <w:hyperlink r:id="rId159">
        <w:r>
          <w:rPr>
            <w:rStyle w:val="Hyperlink"/>
          </w:rPr>
          <w:t xml:space="preserve">https://www.eea.europa.eu/publications/COR0-landcover</w:t>
        </w:r>
      </w:hyperlink>
      <w:r>
        <w:t xml:space="preserve">.</w:t>
      </w:r>
    </w:p>
    <w:p>
      <w:pPr>
        <w:pStyle w:val="BodyText"/>
      </w:pPr>
      <w:r>
        <w:t xml:space="preserve">EEA 2019: The European environment — state and outlook 2020. Knowledge for transition to a sustainable Europe. Information available at</w:t>
      </w:r>
      <w:r>
        <w:t xml:space="preserve"> </w:t>
      </w:r>
      <w:hyperlink r:id="rId160">
        <w:r>
          <w:rPr>
            <w:rStyle w:val="Hyperlink"/>
          </w:rPr>
          <w:t xml:space="preserve">https://www.eea.europa.eu/publications/soer-2020</w:t>
        </w:r>
      </w:hyperlink>
    </w:p>
    <w:p>
      <w:pPr>
        <w:pStyle w:val="BodyText"/>
      </w:pPr>
      <w:r>
        <w:t xml:space="preserve">ETC-ULS 2020: Contributions to building a coherent Trans-European Nature Network. Information available at</w:t>
      </w:r>
      <w:r>
        <w:t xml:space="preserve"> </w:t>
      </w:r>
      <w:hyperlink r:id="rId161">
        <w:r>
          <w:rPr>
            <w:rStyle w:val="Hyperlink"/>
          </w:rPr>
          <w:t xml:space="preserve">https://www.eea.europa.eu/themes/biodiversity/green-infrastructure/building-a-coherent-trans-european/contributions-to-building-a-coherent/view</w:t>
        </w:r>
      </w:hyperlink>
    </w:p>
    <w:p>
      <w:pPr>
        <w:pStyle w:val="BodyText"/>
      </w:pPr>
      <w:r>
        <w:t xml:space="preserve">EU 2013: Mapping and Assessment of Ecosystems and their Services. An analytical framework for ecosystem assessments under Action 5 of the EU Biodiversity Strategy to 2020. Information available at https://ec.europa.eu/environment/nature/knowledge/ecosystem_assessment/pdf/MAESWorkingPaper2013.pdf</w:t>
      </w:r>
    </w:p>
    <w:p>
      <w:r>
        <w:br w:type="page"/>
      </w:r>
    </w:p>
    <w:bookmarkEnd w:id="162"/>
    <w:bookmarkStart w:id="163" w:name="annexes"/>
    <w:p>
      <w:pPr>
        <w:pStyle w:val="Heading1"/>
      </w:pPr>
      <w:r>
        <w:t xml:space="preserve">10. Annexes</w:t>
      </w:r>
    </w:p>
    <w:p>
      <w:pPr>
        <w:pStyle w:val="FirstParagraph"/>
      </w:pPr>
      <w:r>
        <w:t xml:space="preserve">Class specific thematic validation results for the 2018 update production phase</w:t>
      </w:r>
    </w:p>
    <w:p>
      <w:pPr>
        <w:pStyle w:val="TableCaption"/>
      </w:pPr>
      <w:r>
        <w:t xml:space="preserve">Area-weighted User's and Producer's Accuracies for status LC/LU 2018 on code level 4</w:t>
      </w:r>
    </w:p>
    <w:tbl>
      <w:tblPr>
        <w:tblStyle w:val="Table"/>
        <w:tblW w:type="pct" w:w="4884"/>
        <w:tblLayout w:type="fixed"/>
        <w:tblLook w:firstRow="1" w:lastRow="0" w:firstColumn="0" w:lastColumn="0" w:noHBand="0" w:noVBand="0" w:val="0020"/>
        <w:tblCaption w:val="Area-weighted User's and Producer's Accuracies for status LC/LU 2018 on code level 4"/>
      </w:tblPr>
      <w:tblGrid>
        <w:gridCol w:w="770"/>
        <w:gridCol w:w="806"/>
        <w:gridCol w:w="1173"/>
        <w:gridCol w:w="1393"/>
        <w:gridCol w:w="1026"/>
        <w:gridCol w:w="1246"/>
        <w:gridCol w:w="1320"/>
      </w:tblGrid>
      <w:tr>
        <w:trPr>
          <w:tblHeader w:val="on"/>
        </w:trPr>
        <w:tc>
          <w:tcPr/>
          <w:p>
            <w:pPr>
              <w:pStyle w:val="Compact"/>
              <w:jc w:val="left"/>
            </w:pPr>
            <w:r>
              <w:rPr>
                <w:b/>
                <w:bCs/>
              </w:rPr>
              <w:t xml:space="preserve">Code Level 4</w:t>
            </w:r>
          </w:p>
        </w:tc>
        <w:tc>
          <w:tcPr>
            <w:gridSpan w:val="2"/>
          </w:tcPr>
          <w:p>
            <w:pPr>
              <w:pStyle w:val="Compact"/>
              <w:jc w:val="left"/>
            </w:pPr>
            <w:r>
              <w:rPr>
                <w:b/>
                <w:bCs/>
              </w:rPr>
              <w:t xml:space="preserve">User’s Accuracy</w:t>
            </w:r>
          </w:p>
        </w:tc>
        <w:tc>
          <w:tcPr/>
          <w:p>
            <w:pPr>
              <w:pStyle w:val="Compact"/>
              <w:jc w:val="left"/>
            </w:pPr>
            <w:r>
              <w:rPr>
                <w:b/>
                <w:bCs/>
              </w:rPr>
              <w:t xml:space="preserve">No. of assessed sample points</w:t>
            </w:r>
          </w:p>
        </w:tc>
        <w:tc>
          <w:tcPr>
            <w:gridSpan w:val="2"/>
          </w:tcPr>
          <w:p>
            <w:pPr>
              <w:pStyle w:val="Compact"/>
              <w:jc w:val="left"/>
            </w:pPr>
            <w:r>
              <w:rPr>
                <w:b/>
                <w:bCs/>
              </w:rPr>
              <w:t xml:space="preserve">Producer’s Accuracy</w:t>
            </w:r>
          </w:p>
        </w:tc>
        <w:tc>
          <w:tcPr/>
          <w:p>
            <w:pPr>
              <w:pStyle w:val="Compact"/>
              <w:jc w:val="left"/>
            </w:pPr>
            <w:r>
              <w:rPr>
                <w:b/>
                <w:bCs/>
              </w:rPr>
              <w:t xml:space="preserve">No. of assessed sample points</w:t>
            </w:r>
          </w:p>
        </w:tc>
      </w:tr>
      <w:tr>
        <w:tc>
          <w:tcPr/>
          <w:p>
            <w:pPr>
              <w:pStyle w:val="Compact"/>
            </w:pPr>
          </w:p>
        </w:tc>
        <w:tc>
          <w:tcPr/>
          <w:p>
            <w:pPr>
              <w:pStyle w:val="Compact"/>
              <w:jc w:val="left"/>
            </w:pPr>
            <w:r>
              <w:rPr>
                <w:b/>
                <w:bCs/>
              </w:rPr>
              <w:t xml:space="preserve">Accuracy [%]</w:t>
            </w:r>
          </w:p>
        </w:tc>
        <w:tc>
          <w:tcPr/>
          <w:p>
            <w:pPr>
              <w:pStyle w:val="Compact"/>
              <w:jc w:val="left"/>
            </w:pPr>
            <w:r>
              <w:rPr>
                <w:b/>
                <w:bCs/>
              </w:rPr>
              <w:t xml:space="preserve">Confidence Interval [%]</w:t>
            </w:r>
          </w:p>
        </w:tc>
        <w:tc>
          <w:tcPr/>
          <w:p>
            <w:pPr>
              <w:pStyle w:val="Compact"/>
            </w:pPr>
          </w:p>
        </w:tc>
        <w:tc>
          <w:tcPr/>
          <w:p>
            <w:pPr>
              <w:pStyle w:val="Compact"/>
              <w:jc w:val="left"/>
            </w:pPr>
            <w:r>
              <w:rPr>
                <w:b/>
                <w:bCs/>
              </w:rPr>
              <w:t xml:space="preserve">Accuracy [%]</w:t>
            </w:r>
          </w:p>
        </w:tc>
        <w:tc>
          <w:tcPr/>
          <w:p>
            <w:pPr>
              <w:pStyle w:val="Compact"/>
              <w:jc w:val="left"/>
            </w:pPr>
            <w:r>
              <w:rPr>
                <w:b/>
                <w:bCs/>
              </w:rPr>
              <w:t xml:space="preserve">Confidence Interval [%]</w:t>
            </w:r>
          </w:p>
        </w:tc>
        <w:tc>
          <w:tcPr/>
          <w:p>
            <w:pPr>
              <w:pStyle w:val="Compact"/>
            </w:pPr>
          </w:p>
        </w:tc>
      </w:tr>
      <w:tr>
        <w:tc>
          <w:tcPr/>
          <w:p>
            <w:pPr>
              <w:pStyle w:val="Compact"/>
              <w:jc w:val="left"/>
            </w:pPr>
            <w:r>
              <w:t xml:space="preserve">1110</w:t>
            </w:r>
          </w:p>
        </w:tc>
        <w:tc>
          <w:tcPr/>
          <w:p>
            <w:pPr>
              <w:pStyle w:val="Compact"/>
              <w:jc w:val="left"/>
            </w:pPr>
            <w:r>
              <w:t xml:space="preserve">97.86</w:t>
            </w:r>
          </w:p>
        </w:tc>
        <w:tc>
          <w:tcPr/>
          <w:p>
            <w:pPr>
              <w:pStyle w:val="Compact"/>
              <w:jc w:val="left"/>
            </w:pPr>
            <w:r>
              <w:t xml:space="preserve">1.20</w:t>
            </w:r>
          </w:p>
        </w:tc>
        <w:tc>
          <w:tcPr/>
          <w:p>
            <w:pPr>
              <w:pStyle w:val="Compact"/>
              <w:jc w:val="left"/>
            </w:pPr>
            <w:r>
              <w:t xml:space="preserve">561</w:t>
            </w:r>
          </w:p>
        </w:tc>
        <w:tc>
          <w:tcPr/>
          <w:p>
            <w:pPr>
              <w:pStyle w:val="Compact"/>
              <w:jc w:val="left"/>
            </w:pPr>
            <w:r>
              <w:t xml:space="preserve">97.31</w:t>
            </w:r>
          </w:p>
        </w:tc>
        <w:tc>
          <w:tcPr/>
          <w:p>
            <w:pPr>
              <w:pStyle w:val="Compact"/>
              <w:jc w:val="left"/>
            </w:pPr>
            <w:r>
              <w:t xml:space="preserve">1.27</w:t>
            </w:r>
          </w:p>
        </w:tc>
        <w:tc>
          <w:tcPr/>
          <w:p>
            <w:pPr>
              <w:pStyle w:val="Compact"/>
              <w:jc w:val="left"/>
            </w:pPr>
            <w:r>
              <w:t xml:space="preserve">561</w:t>
            </w:r>
          </w:p>
        </w:tc>
      </w:tr>
      <w:tr>
        <w:tc>
          <w:tcPr/>
          <w:p>
            <w:pPr>
              <w:pStyle w:val="Compact"/>
              <w:jc w:val="left"/>
            </w:pPr>
            <w:r>
              <w:t xml:space="preserve">1120</w:t>
            </w:r>
          </w:p>
        </w:tc>
        <w:tc>
          <w:tcPr/>
          <w:p>
            <w:pPr>
              <w:pStyle w:val="Compact"/>
              <w:jc w:val="left"/>
            </w:pPr>
            <w:r>
              <w:t xml:space="preserve">98.06</w:t>
            </w:r>
          </w:p>
        </w:tc>
        <w:tc>
          <w:tcPr/>
          <w:p>
            <w:pPr>
              <w:pStyle w:val="Compact"/>
              <w:jc w:val="left"/>
            </w:pPr>
            <w:r>
              <w:t xml:space="preserve">1.01</w:t>
            </w:r>
          </w:p>
        </w:tc>
        <w:tc>
          <w:tcPr/>
          <w:p>
            <w:pPr>
              <w:pStyle w:val="Compact"/>
              <w:jc w:val="left"/>
            </w:pPr>
            <w:r>
              <w:t xml:space="preserve">721</w:t>
            </w:r>
          </w:p>
        </w:tc>
        <w:tc>
          <w:tcPr/>
          <w:p>
            <w:pPr>
              <w:pStyle w:val="Compact"/>
              <w:jc w:val="left"/>
            </w:pPr>
            <w:r>
              <w:t xml:space="preserve">96.21</w:t>
            </w:r>
          </w:p>
        </w:tc>
        <w:tc>
          <w:tcPr/>
          <w:p>
            <w:pPr>
              <w:pStyle w:val="Compact"/>
              <w:jc w:val="left"/>
            </w:pPr>
            <w:r>
              <w:t xml:space="preserve">1.31</w:t>
            </w:r>
          </w:p>
        </w:tc>
        <w:tc>
          <w:tcPr/>
          <w:p>
            <w:pPr>
              <w:pStyle w:val="Compact"/>
              <w:jc w:val="left"/>
            </w:pPr>
            <w:r>
              <w:t xml:space="preserve">721</w:t>
            </w:r>
          </w:p>
        </w:tc>
      </w:tr>
      <w:tr>
        <w:tc>
          <w:tcPr/>
          <w:p>
            <w:pPr>
              <w:pStyle w:val="Compact"/>
              <w:jc w:val="left"/>
            </w:pPr>
            <w:r>
              <w:t xml:space="preserve">1210</w:t>
            </w:r>
          </w:p>
        </w:tc>
        <w:tc>
          <w:tcPr/>
          <w:p>
            <w:pPr>
              <w:pStyle w:val="Compact"/>
              <w:jc w:val="left"/>
            </w:pPr>
            <w:r>
              <w:t xml:space="preserve">98.57</w:t>
            </w:r>
          </w:p>
        </w:tc>
        <w:tc>
          <w:tcPr/>
          <w:p>
            <w:pPr>
              <w:pStyle w:val="Compact"/>
              <w:jc w:val="left"/>
            </w:pPr>
            <w:r>
              <w:t xml:space="preserve">0.93</w:t>
            </w:r>
          </w:p>
        </w:tc>
        <w:tc>
          <w:tcPr/>
          <w:p>
            <w:pPr>
              <w:pStyle w:val="Compact"/>
              <w:jc w:val="left"/>
            </w:pPr>
            <w:r>
              <w:t xml:space="preserve">629</w:t>
            </w:r>
          </w:p>
        </w:tc>
        <w:tc>
          <w:tcPr/>
          <w:p>
            <w:pPr>
              <w:pStyle w:val="Compact"/>
              <w:jc w:val="left"/>
            </w:pPr>
            <w:r>
              <w:t xml:space="preserve">99.20</w:t>
            </w:r>
          </w:p>
        </w:tc>
        <w:tc>
          <w:tcPr/>
          <w:p>
            <w:pPr>
              <w:pStyle w:val="Compact"/>
              <w:jc w:val="left"/>
            </w:pPr>
            <w:r>
              <w:t xml:space="preserve">0.50</w:t>
            </w:r>
          </w:p>
        </w:tc>
        <w:tc>
          <w:tcPr/>
          <w:p>
            <w:pPr>
              <w:pStyle w:val="Compact"/>
              <w:jc w:val="left"/>
            </w:pPr>
            <w:r>
              <w:t xml:space="preserve">629</w:t>
            </w:r>
          </w:p>
        </w:tc>
      </w:tr>
      <w:tr>
        <w:tc>
          <w:tcPr/>
          <w:p>
            <w:pPr>
              <w:pStyle w:val="Compact"/>
              <w:jc w:val="left"/>
            </w:pPr>
            <w:r>
              <w:t xml:space="preserve">1220</w:t>
            </w:r>
          </w:p>
        </w:tc>
        <w:tc>
          <w:tcPr/>
          <w:p>
            <w:pPr>
              <w:pStyle w:val="Compact"/>
              <w:jc w:val="left"/>
            </w:pPr>
            <w:r>
              <w:t xml:space="preserve">98.37</w:t>
            </w:r>
          </w:p>
        </w:tc>
        <w:tc>
          <w:tcPr/>
          <w:p>
            <w:pPr>
              <w:pStyle w:val="Compact"/>
              <w:jc w:val="left"/>
            </w:pPr>
            <w:r>
              <w:t xml:space="preserve">1.12</w:t>
            </w:r>
          </w:p>
        </w:tc>
        <w:tc>
          <w:tcPr/>
          <w:p>
            <w:pPr>
              <w:pStyle w:val="Compact"/>
              <w:jc w:val="left"/>
            </w:pPr>
            <w:r>
              <w:t xml:space="preserve">490</w:t>
            </w:r>
          </w:p>
        </w:tc>
        <w:tc>
          <w:tcPr/>
          <w:p>
            <w:pPr>
              <w:pStyle w:val="Compact"/>
              <w:jc w:val="left"/>
            </w:pPr>
            <w:r>
              <w:t xml:space="preserve">98.71</w:t>
            </w:r>
          </w:p>
        </w:tc>
        <w:tc>
          <w:tcPr/>
          <w:p>
            <w:pPr>
              <w:pStyle w:val="Compact"/>
              <w:jc w:val="left"/>
            </w:pPr>
            <w:r>
              <w:t xml:space="preserve">1.29</w:t>
            </w:r>
          </w:p>
        </w:tc>
        <w:tc>
          <w:tcPr/>
          <w:p>
            <w:pPr>
              <w:pStyle w:val="Compact"/>
              <w:jc w:val="left"/>
            </w:pPr>
            <w:r>
              <w:t xml:space="preserve">490</w:t>
            </w:r>
          </w:p>
        </w:tc>
      </w:tr>
      <w:tr>
        <w:tc>
          <w:tcPr/>
          <w:p>
            <w:pPr>
              <w:pStyle w:val="Compact"/>
              <w:jc w:val="left"/>
            </w:pPr>
            <w:r>
              <w:t xml:space="preserve">1230</w:t>
            </w:r>
          </w:p>
        </w:tc>
        <w:tc>
          <w:tcPr/>
          <w:p>
            <w:pPr>
              <w:pStyle w:val="Compact"/>
              <w:jc w:val="left"/>
            </w:pPr>
            <w:r>
              <w:t xml:space="preserve">98.68</w:t>
            </w:r>
          </w:p>
        </w:tc>
        <w:tc>
          <w:tcPr/>
          <w:p>
            <w:pPr>
              <w:pStyle w:val="Compact"/>
              <w:jc w:val="left"/>
            </w:pPr>
            <w:r>
              <w:t xml:space="preserve">1.28</w:t>
            </w:r>
          </w:p>
        </w:tc>
        <w:tc>
          <w:tcPr/>
          <w:p>
            <w:pPr>
              <w:pStyle w:val="Compact"/>
              <w:jc w:val="left"/>
            </w:pPr>
            <w:r>
              <w:t xml:space="preserve">304</w:t>
            </w:r>
          </w:p>
        </w:tc>
        <w:tc>
          <w:tcPr/>
          <w:p>
            <w:pPr>
              <w:pStyle w:val="Compact"/>
              <w:jc w:val="left"/>
            </w:pPr>
            <w:r>
              <w:t xml:space="preserve">98.60</w:t>
            </w:r>
          </w:p>
        </w:tc>
        <w:tc>
          <w:tcPr/>
          <w:p>
            <w:pPr>
              <w:pStyle w:val="Compact"/>
              <w:jc w:val="left"/>
            </w:pPr>
            <w:r>
              <w:t xml:space="preserve">1.92</w:t>
            </w:r>
          </w:p>
        </w:tc>
        <w:tc>
          <w:tcPr/>
          <w:p>
            <w:pPr>
              <w:pStyle w:val="Compact"/>
              <w:jc w:val="left"/>
            </w:pPr>
            <w:r>
              <w:t xml:space="preserve">304</w:t>
            </w:r>
          </w:p>
        </w:tc>
      </w:tr>
      <w:tr>
        <w:tc>
          <w:tcPr/>
          <w:p>
            <w:pPr>
              <w:pStyle w:val="Compact"/>
              <w:jc w:val="left"/>
            </w:pPr>
            <w:r>
              <w:t xml:space="preserve">1240</w:t>
            </w:r>
          </w:p>
        </w:tc>
        <w:tc>
          <w:tcPr/>
          <w:p>
            <w:pPr>
              <w:pStyle w:val="Compact"/>
              <w:jc w:val="left"/>
            </w:pPr>
            <w:r>
              <w:t xml:space="preserve">99.52</w:t>
            </w:r>
          </w:p>
        </w:tc>
        <w:tc>
          <w:tcPr/>
          <w:p>
            <w:pPr>
              <w:pStyle w:val="Compact"/>
              <w:jc w:val="left"/>
            </w:pPr>
            <w:r>
              <w:t xml:space="preserve">0.66</w:t>
            </w:r>
          </w:p>
        </w:tc>
        <w:tc>
          <w:tcPr/>
          <w:p>
            <w:pPr>
              <w:pStyle w:val="Compact"/>
              <w:jc w:val="left"/>
            </w:pPr>
            <w:r>
              <w:t xml:space="preserve">418</w:t>
            </w:r>
          </w:p>
        </w:tc>
        <w:tc>
          <w:tcPr/>
          <w:p>
            <w:pPr>
              <w:pStyle w:val="Compact"/>
              <w:jc w:val="left"/>
            </w:pPr>
            <w:r>
              <w:t xml:space="preserve">99.34</w:t>
            </w:r>
          </w:p>
        </w:tc>
        <w:tc>
          <w:tcPr/>
          <w:p>
            <w:pPr>
              <w:pStyle w:val="Compact"/>
              <w:jc w:val="left"/>
            </w:pPr>
            <w:r>
              <w:t xml:space="preserve">0.91</w:t>
            </w:r>
          </w:p>
        </w:tc>
        <w:tc>
          <w:tcPr/>
          <w:p>
            <w:pPr>
              <w:pStyle w:val="Compact"/>
              <w:jc w:val="left"/>
            </w:pPr>
            <w:r>
              <w:t xml:space="preserve">418</w:t>
            </w:r>
          </w:p>
        </w:tc>
      </w:tr>
      <w:tr>
        <w:tc>
          <w:tcPr/>
          <w:p>
            <w:pPr>
              <w:pStyle w:val="Compact"/>
              <w:jc w:val="left"/>
            </w:pPr>
            <w:r>
              <w:t xml:space="preserve">1310</w:t>
            </w:r>
          </w:p>
        </w:tc>
        <w:tc>
          <w:tcPr/>
          <w:p>
            <w:pPr>
              <w:pStyle w:val="Compact"/>
              <w:jc w:val="left"/>
            </w:pPr>
            <w:r>
              <w:t xml:space="preserve">96.76</w:t>
            </w:r>
          </w:p>
        </w:tc>
        <w:tc>
          <w:tcPr/>
          <w:p>
            <w:pPr>
              <w:pStyle w:val="Compact"/>
              <w:jc w:val="left"/>
            </w:pPr>
            <w:r>
              <w:t xml:space="preserve">1.04</w:t>
            </w:r>
          </w:p>
        </w:tc>
        <w:tc>
          <w:tcPr/>
          <w:p>
            <w:pPr>
              <w:pStyle w:val="Compact"/>
              <w:jc w:val="left"/>
            </w:pPr>
            <w:r>
              <w:t xml:space="preserve">1111</w:t>
            </w:r>
          </w:p>
        </w:tc>
        <w:tc>
          <w:tcPr/>
          <w:p>
            <w:pPr>
              <w:pStyle w:val="Compact"/>
              <w:jc w:val="left"/>
            </w:pPr>
            <w:r>
              <w:t xml:space="preserve">93.93</w:t>
            </w:r>
          </w:p>
        </w:tc>
        <w:tc>
          <w:tcPr/>
          <w:p>
            <w:pPr>
              <w:pStyle w:val="Compact"/>
              <w:jc w:val="left"/>
            </w:pPr>
            <w:r>
              <w:t xml:space="preserve">1.69</w:t>
            </w:r>
          </w:p>
        </w:tc>
        <w:tc>
          <w:tcPr/>
          <w:p>
            <w:pPr>
              <w:pStyle w:val="Compact"/>
              <w:jc w:val="left"/>
            </w:pPr>
            <w:r>
              <w:t xml:space="preserve">1111</w:t>
            </w:r>
          </w:p>
        </w:tc>
      </w:tr>
      <w:tr>
        <w:tc>
          <w:tcPr/>
          <w:p>
            <w:pPr>
              <w:pStyle w:val="Compact"/>
              <w:jc w:val="left"/>
            </w:pPr>
            <w:r>
              <w:t xml:space="preserve">1320</w:t>
            </w:r>
          </w:p>
        </w:tc>
        <w:tc>
          <w:tcPr/>
          <w:p>
            <w:pPr>
              <w:pStyle w:val="Compact"/>
              <w:jc w:val="left"/>
            </w:pPr>
            <w:r>
              <w:t xml:space="preserve">86.78</w:t>
            </w:r>
          </w:p>
        </w:tc>
        <w:tc>
          <w:tcPr/>
          <w:p>
            <w:pPr>
              <w:pStyle w:val="Compact"/>
              <w:jc w:val="left"/>
            </w:pPr>
            <w:r>
              <w:t xml:space="preserve">3.26</w:t>
            </w:r>
          </w:p>
        </w:tc>
        <w:tc>
          <w:tcPr/>
          <w:p>
            <w:pPr>
              <w:pStyle w:val="Compact"/>
              <w:jc w:val="left"/>
            </w:pPr>
            <w:r>
              <w:t xml:space="preserve">416</w:t>
            </w:r>
          </w:p>
        </w:tc>
        <w:tc>
          <w:tcPr/>
          <w:p>
            <w:pPr>
              <w:pStyle w:val="Compact"/>
              <w:jc w:val="left"/>
            </w:pPr>
            <w:r>
              <w:t xml:space="preserve">98.01</w:t>
            </w:r>
          </w:p>
        </w:tc>
        <w:tc>
          <w:tcPr/>
          <w:p>
            <w:pPr>
              <w:pStyle w:val="Compact"/>
              <w:jc w:val="left"/>
            </w:pPr>
            <w:r>
              <w:t xml:space="preserve">1.51</w:t>
            </w:r>
          </w:p>
        </w:tc>
        <w:tc>
          <w:tcPr/>
          <w:p>
            <w:pPr>
              <w:pStyle w:val="Compact"/>
              <w:jc w:val="left"/>
            </w:pPr>
            <w:r>
              <w:t xml:space="preserve">416</w:t>
            </w:r>
          </w:p>
        </w:tc>
      </w:tr>
      <w:tr>
        <w:tc>
          <w:tcPr/>
          <w:p>
            <w:pPr>
              <w:pStyle w:val="Compact"/>
              <w:jc w:val="left"/>
            </w:pPr>
            <w:r>
              <w:t xml:space="preserve">1400</w:t>
            </w:r>
          </w:p>
        </w:tc>
        <w:tc>
          <w:tcPr/>
          <w:p>
            <w:pPr>
              <w:pStyle w:val="Compact"/>
              <w:jc w:val="left"/>
            </w:pPr>
            <w:r>
              <w:t xml:space="preserve">94.57</w:t>
            </w:r>
          </w:p>
        </w:tc>
        <w:tc>
          <w:tcPr/>
          <w:p>
            <w:pPr>
              <w:pStyle w:val="Compact"/>
              <w:jc w:val="left"/>
            </w:pPr>
            <w:r>
              <w:t xml:space="preserve">1.92</w:t>
            </w:r>
          </w:p>
        </w:tc>
        <w:tc>
          <w:tcPr/>
          <w:p>
            <w:pPr>
              <w:pStyle w:val="Compact"/>
              <w:jc w:val="left"/>
            </w:pPr>
            <w:r>
              <w:t xml:space="preserve">534</w:t>
            </w:r>
          </w:p>
        </w:tc>
        <w:tc>
          <w:tcPr/>
          <w:p>
            <w:pPr>
              <w:pStyle w:val="Compact"/>
              <w:jc w:val="left"/>
            </w:pPr>
            <w:r>
              <w:t xml:space="preserve">98.65</w:t>
            </w:r>
          </w:p>
        </w:tc>
        <w:tc>
          <w:tcPr/>
          <w:p>
            <w:pPr>
              <w:pStyle w:val="Compact"/>
              <w:jc w:val="left"/>
            </w:pPr>
            <w:r>
              <w:t xml:space="preserve">0.94</w:t>
            </w:r>
          </w:p>
        </w:tc>
        <w:tc>
          <w:tcPr/>
          <w:p>
            <w:pPr>
              <w:pStyle w:val="Compact"/>
              <w:jc w:val="left"/>
            </w:pPr>
            <w:r>
              <w:t xml:space="preserve">534</w:t>
            </w:r>
          </w:p>
        </w:tc>
      </w:tr>
      <w:tr>
        <w:tc>
          <w:tcPr/>
          <w:p>
            <w:pPr>
              <w:pStyle w:val="Compact"/>
              <w:jc w:val="left"/>
            </w:pPr>
            <w:r>
              <w:t xml:space="preserve">2110</w:t>
            </w:r>
          </w:p>
        </w:tc>
        <w:tc>
          <w:tcPr/>
          <w:p>
            <w:pPr>
              <w:pStyle w:val="Compact"/>
              <w:jc w:val="left"/>
            </w:pPr>
            <w:r>
              <w:t xml:space="preserve">98.48</w:t>
            </w:r>
          </w:p>
        </w:tc>
        <w:tc>
          <w:tcPr/>
          <w:p>
            <w:pPr>
              <w:pStyle w:val="Compact"/>
              <w:jc w:val="left"/>
            </w:pPr>
            <w:r>
              <w:t xml:space="preserve">0.58</w:t>
            </w:r>
          </w:p>
        </w:tc>
        <w:tc>
          <w:tcPr/>
          <w:p>
            <w:pPr>
              <w:pStyle w:val="Compact"/>
              <w:jc w:val="left"/>
            </w:pPr>
            <w:r>
              <w:t xml:space="preserve">1711</w:t>
            </w:r>
          </w:p>
        </w:tc>
        <w:tc>
          <w:tcPr/>
          <w:p>
            <w:pPr>
              <w:pStyle w:val="Compact"/>
              <w:jc w:val="left"/>
            </w:pPr>
            <w:r>
              <w:t xml:space="preserve">94.19</w:t>
            </w:r>
          </w:p>
        </w:tc>
        <w:tc>
          <w:tcPr/>
          <w:p>
            <w:pPr>
              <w:pStyle w:val="Compact"/>
              <w:jc w:val="left"/>
            </w:pPr>
            <w:r>
              <w:t xml:space="preserve">1.07</w:t>
            </w:r>
          </w:p>
        </w:tc>
        <w:tc>
          <w:tcPr/>
          <w:p>
            <w:pPr>
              <w:pStyle w:val="Compact"/>
              <w:jc w:val="left"/>
            </w:pPr>
            <w:r>
              <w:t xml:space="preserve">1711</w:t>
            </w:r>
          </w:p>
        </w:tc>
      </w:tr>
      <w:tr>
        <w:tc>
          <w:tcPr/>
          <w:p>
            <w:pPr>
              <w:pStyle w:val="Compact"/>
              <w:jc w:val="left"/>
            </w:pPr>
            <w:r>
              <w:t xml:space="preserve">2120</w:t>
            </w:r>
          </w:p>
        </w:tc>
        <w:tc>
          <w:tcPr/>
          <w:p>
            <w:pPr>
              <w:pStyle w:val="Compact"/>
              <w:jc w:val="left"/>
            </w:pPr>
            <w:r>
              <w:t xml:space="preserve">92.08</w:t>
            </w:r>
          </w:p>
        </w:tc>
        <w:tc>
          <w:tcPr/>
          <w:p>
            <w:pPr>
              <w:pStyle w:val="Compact"/>
              <w:jc w:val="left"/>
            </w:pPr>
            <w:r>
              <w:t xml:space="preserve">2.77</w:t>
            </w:r>
          </w:p>
        </w:tc>
        <w:tc>
          <w:tcPr/>
          <w:p>
            <w:pPr>
              <w:pStyle w:val="Compact"/>
              <w:jc w:val="left"/>
            </w:pPr>
            <w:r>
              <w:t xml:space="preserve">366</w:t>
            </w:r>
          </w:p>
        </w:tc>
        <w:tc>
          <w:tcPr/>
          <w:p>
            <w:pPr>
              <w:pStyle w:val="Compact"/>
              <w:jc w:val="left"/>
            </w:pPr>
            <w:r>
              <w:t xml:space="preserve">99.59</w:t>
            </w:r>
          </w:p>
        </w:tc>
        <w:tc>
          <w:tcPr/>
          <w:p>
            <w:pPr>
              <w:pStyle w:val="Compact"/>
              <w:jc w:val="left"/>
            </w:pPr>
            <w:r>
              <w:t xml:space="preserve">0.81</w:t>
            </w:r>
          </w:p>
        </w:tc>
        <w:tc>
          <w:tcPr/>
          <w:p>
            <w:pPr>
              <w:pStyle w:val="Compact"/>
              <w:jc w:val="left"/>
            </w:pPr>
            <w:r>
              <w:t xml:space="preserve">366</w:t>
            </w:r>
          </w:p>
        </w:tc>
      </w:tr>
      <w:tr>
        <w:tc>
          <w:tcPr/>
          <w:p>
            <w:pPr>
              <w:pStyle w:val="Compact"/>
              <w:jc w:val="left"/>
            </w:pPr>
            <w:r>
              <w:t xml:space="preserve">2210</w:t>
            </w:r>
          </w:p>
        </w:tc>
        <w:tc>
          <w:tcPr/>
          <w:p>
            <w:pPr>
              <w:pStyle w:val="Compact"/>
              <w:jc w:val="left"/>
            </w:pPr>
            <w:r>
              <w:t xml:space="preserve">98.36</w:t>
            </w:r>
          </w:p>
        </w:tc>
        <w:tc>
          <w:tcPr/>
          <w:p>
            <w:pPr>
              <w:pStyle w:val="Compact"/>
              <w:jc w:val="left"/>
            </w:pPr>
            <w:r>
              <w:t xml:space="preserve">0.96</w:t>
            </w:r>
          </w:p>
        </w:tc>
        <w:tc>
          <w:tcPr/>
          <w:p>
            <w:pPr>
              <w:pStyle w:val="Compact"/>
              <w:jc w:val="left"/>
            </w:pPr>
            <w:r>
              <w:t xml:space="preserve">670</w:t>
            </w:r>
          </w:p>
        </w:tc>
        <w:tc>
          <w:tcPr/>
          <w:p>
            <w:pPr>
              <w:pStyle w:val="Compact"/>
              <w:jc w:val="left"/>
            </w:pPr>
            <w:r>
              <w:t xml:space="preserve">98.33</w:t>
            </w:r>
          </w:p>
        </w:tc>
        <w:tc>
          <w:tcPr/>
          <w:p>
            <w:pPr>
              <w:pStyle w:val="Compact"/>
              <w:jc w:val="left"/>
            </w:pPr>
            <w:r>
              <w:t xml:space="preserve">0.76</w:t>
            </w:r>
          </w:p>
        </w:tc>
        <w:tc>
          <w:tcPr/>
          <w:p>
            <w:pPr>
              <w:pStyle w:val="Compact"/>
              <w:jc w:val="left"/>
            </w:pPr>
            <w:r>
              <w:t xml:space="preserve">670</w:t>
            </w:r>
          </w:p>
        </w:tc>
      </w:tr>
      <w:tr>
        <w:tc>
          <w:tcPr/>
          <w:p>
            <w:pPr>
              <w:pStyle w:val="Compact"/>
              <w:jc w:val="left"/>
            </w:pPr>
            <w:r>
              <w:t xml:space="preserve">2220</w:t>
            </w:r>
          </w:p>
        </w:tc>
        <w:tc>
          <w:tcPr/>
          <w:p>
            <w:pPr>
              <w:pStyle w:val="Compact"/>
              <w:jc w:val="left"/>
            </w:pPr>
            <w:r>
              <w:t xml:space="preserve">98.57</w:t>
            </w:r>
          </w:p>
        </w:tc>
        <w:tc>
          <w:tcPr/>
          <w:p>
            <w:pPr>
              <w:pStyle w:val="Compact"/>
              <w:jc w:val="left"/>
            </w:pPr>
            <w:r>
              <w:t xml:space="preserve">1.13</w:t>
            </w:r>
          </w:p>
        </w:tc>
        <w:tc>
          <w:tcPr/>
          <w:p>
            <w:pPr>
              <w:pStyle w:val="Compact"/>
              <w:jc w:val="left"/>
            </w:pPr>
            <w:r>
              <w:t xml:space="preserve">421</w:t>
            </w:r>
          </w:p>
        </w:tc>
        <w:tc>
          <w:tcPr/>
          <w:p>
            <w:pPr>
              <w:pStyle w:val="Compact"/>
              <w:jc w:val="left"/>
            </w:pPr>
            <w:r>
              <w:t xml:space="preserve">99.31</w:t>
            </w:r>
          </w:p>
        </w:tc>
        <w:tc>
          <w:tcPr/>
          <w:p>
            <w:pPr>
              <w:pStyle w:val="Compact"/>
              <w:jc w:val="left"/>
            </w:pPr>
            <w:r>
              <w:t xml:space="preserve">0.70</w:t>
            </w:r>
          </w:p>
        </w:tc>
        <w:tc>
          <w:tcPr/>
          <w:p>
            <w:pPr>
              <w:pStyle w:val="Compact"/>
              <w:jc w:val="left"/>
            </w:pPr>
            <w:r>
              <w:t xml:space="preserve">421</w:t>
            </w:r>
          </w:p>
        </w:tc>
      </w:tr>
      <w:tr>
        <w:tc>
          <w:tcPr/>
          <w:p>
            <w:pPr>
              <w:pStyle w:val="Compact"/>
              <w:jc w:val="left"/>
            </w:pPr>
            <w:r>
              <w:t xml:space="preserve">2310</w:t>
            </w:r>
          </w:p>
        </w:tc>
        <w:tc>
          <w:tcPr/>
          <w:p>
            <w:pPr>
              <w:pStyle w:val="Compact"/>
              <w:jc w:val="left"/>
            </w:pPr>
            <w:r>
              <w:t xml:space="preserve">88.43</w:t>
            </w:r>
          </w:p>
        </w:tc>
        <w:tc>
          <w:tcPr/>
          <w:p>
            <w:pPr>
              <w:pStyle w:val="Compact"/>
              <w:jc w:val="left"/>
            </w:pPr>
            <w:r>
              <w:t xml:space="preserve">3.84</w:t>
            </w:r>
          </w:p>
        </w:tc>
        <w:tc>
          <w:tcPr/>
          <w:p>
            <w:pPr>
              <w:pStyle w:val="Compact"/>
              <w:jc w:val="left"/>
            </w:pPr>
            <w:r>
              <w:t xml:space="preserve">268</w:t>
            </w:r>
          </w:p>
        </w:tc>
        <w:tc>
          <w:tcPr/>
          <w:p>
            <w:pPr>
              <w:pStyle w:val="Compact"/>
              <w:jc w:val="left"/>
            </w:pPr>
            <w:r>
              <w:t xml:space="preserve">100.00</w:t>
            </w:r>
          </w:p>
        </w:tc>
        <w:tc>
          <w:tcPr/>
          <w:p>
            <w:pPr>
              <w:pStyle w:val="Compact"/>
              <w:jc w:val="left"/>
            </w:pPr>
            <w:r>
              <w:t xml:space="preserve">0.00</w:t>
            </w:r>
          </w:p>
        </w:tc>
        <w:tc>
          <w:tcPr/>
          <w:p>
            <w:pPr>
              <w:pStyle w:val="Compact"/>
              <w:jc w:val="left"/>
            </w:pPr>
            <w:r>
              <w:t xml:space="preserve">268</w:t>
            </w:r>
          </w:p>
        </w:tc>
      </w:tr>
      <w:tr>
        <w:tc>
          <w:tcPr/>
          <w:p>
            <w:pPr>
              <w:pStyle w:val="Compact"/>
              <w:jc w:val="left"/>
            </w:pPr>
            <w:r>
              <w:t xml:space="preserve">2320</w:t>
            </w:r>
          </w:p>
        </w:tc>
        <w:tc>
          <w:tcPr/>
          <w:p>
            <w:pPr>
              <w:pStyle w:val="Compact"/>
              <w:jc w:val="left"/>
            </w:pPr>
            <w:r>
              <w:t xml:space="preserve">93.81</w:t>
            </w:r>
          </w:p>
        </w:tc>
        <w:tc>
          <w:tcPr/>
          <w:p>
            <w:pPr>
              <w:pStyle w:val="Compact"/>
              <w:jc w:val="left"/>
            </w:pPr>
            <w:r>
              <w:t xml:space="preserve">2.27</w:t>
            </w:r>
          </w:p>
        </w:tc>
        <w:tc>
          <w:tcPr/>
          <w:p>
            <w:pPr>
              <w:pStyle w:val="Compact"/>
              <w:jc w:val="left"/>
            </w:pPr>
            <w:r>
              <w:t xml:space="preserve">436</w:t>
            </w:r>
          </w:p>
        </w:tc>
        <w:tc>
          <w:tcPr/>
          <w:p>
            <w:pPr>
              <w:pStyle w:val="Compact"/>
              <w:jc w:val="left"/>
            </w:pPr>
            <w:r>
              <w:t xml:space="preserve">98.16</w:t>
            </w:r>
          </w:p>
        </w:tc>
        <w:tc>
          <w:tcPr/>
          <w:p>
            <w:pPr>
              <w:pStyle w:val="Compact"/>
              <w:jc w:val="left"/>
            </w:pPr>
            <w:r>
              <w:t xml:space="preserve">1.20</w:t>
            </w:r>
          </w:p>
        </w:tc>
        <w:tc>
          <w:tcPr/>
          <w:p>
            <w:pPr>
              <w:pStyle w:val="Compact"/>
              <w:jc w:val="left"/>
            </w:pPr>
            <w:r>
              <w:t xml:space="preserve">436</w:t>
            </w:r>
          </w:p>
        </w:tc>
      </w:tr>
      <w:tr>
        <w:tc>
          <w:tcPr/>
          <w:p>
            <w:pPr>
              <w:pStyle w:val="Compact"/>
              <w:jc w:val="left"/>
            </w:pPr>
            <w:r>
              <w:t xml:space="preserve">2330</w:t>
            </w:r>
          </w:p>
        </w:tc>
        <w:tc>
          <w:tcPr/>
          <w:p>
            <w:pPr>
              <w:pStyle w:val="Compact"/>
              <w:jc w:val="left"/>
            </w:pPr>
            <w:r>
              <w:t xml:space="preserve">93.78</w:t>
            </w:r>
          </w:p>
        </w:tc>
        <w:tc>
          <w:tcPr/>
          <w:p>
            <w:pPr>
              <w:pStyle w:val="Compact"/>
              <w:jc w:val="left"/>
            </w:pPr>
            <w:r>
              <w:t xml:space="preserve">2.20</w:t>
            </w:r>
          </w:p>
        </w:tc>
        <w:tc>
          <w:tcPr/>
          <w:p>
            <w:pPr>
              <w:pStyle w:val="Compact"/>
              <w:jc w:val="left"/>
            </w:pPr>
            <w:r>
              <w:t xml:space="preserve">466</w:t>
            </w:r>
          </w:p>
        </w:tc>
        <w:tc>
          <w:tcPr/>
          <w:p>
            <w:pPr>
              <w:pStyle w:val="Compact"/>
              <w:jc w:val="left"/>
            </w:pPr>
            <w:r>
              <w:t xml:space="preserve">98.81</w:t>
            </w:r>
          </w:p>
        </w:tc>
        <w:tc>
          <w:tcPr/>
          <w:p>
            <w:pPr>
              <w:pStyle w:val="Compact"/>
              <w:jc w:val="left"/>
            </w:pPr>
            <w:r>
              <w:t xml:space="preserve">0.98</w:t>
            </w:r>
          </w:p>
        </w:tc>
        <w:tc>
          <w:tcPr/>
          <w:p>
            <w:pPr>
              <w:pStyle w:val="Compact"/>
              <w:jc w:val="left"/>
            </w:pPr>
            <w:r>
              <w:t xml:space="preserve">466</w:t>
            </w:r>
          </w:p>
        </w:tc>
      </w:tr>
      <w:tr>
        <w:tc>
          <w:tcPr/>
          <w:p>
            <w:pPr>
              <w:pStyle w:val="Compact"/>
              <w:jc w:val="left"/>
            </w:pPr>
            <w:r>
              <w:t xml:space="preserve">2340</w:t>
            </w:r>
          </w:p>
        </w:tc>
        <w:tc>
          <w:tcPr/>
          <w:p>
            <w:pPr>
              <w:pStyle w:val="Compact"/>
              <w:jc w:val="left"/>
            </w:pPr>
            <w:r>
              <w:t xml:space="preserve">90.25</w:t>
            </w:r>
          </w:p>
        </w:tc>
        <w:tc>
          <w:tcPr/>
          <w:p>
            <w:pPr>
              <w:pStyle w:val="Compact"/>
              <w:jc w:val="left"/>
            </w:pPr>
            <w:r>
              <w:t xml:space="preserve">3.07</w:t>
            </w:r>
          </w:p>
        </w:tc>
        <w:tc>
          <w:tcPr/>
          <w:p>
            <w:pPr>
              <w:pStyle w:val="Compact"/>
              <w:jc w:val="left"/>
            </w:pPr>
            <w:r>
              <w:t xml:space="preserve">359</w:t>
            </w:r>
          </w:p>
        </w:tc>
        <w:tc>
          <w:tcPr/>
          <w:p>
            <w:pPr>
              <w:pStyle w:val="Compact"/>
              <w:jc w:val="left"/>
            </w:pPr>
            <w:r>
              <w:t xml:space="preserve">99.61</w:t>
            </w:r>
          </w:p>
        </w:tc>
        <w:tc>
          <w:tcPr/>
          <w:p>
            <w:pPr>
              <w:pStyle w:val="Compact"/>
              <w:jc w:val="left"/>
            </w:pPr>
            <w:r>
              <w:t xml:space="preserve">0.56</w:t>
            </w:r>
          </w:p>
        </w:tc>
        <w:tc>
          <w:tcPr/>
          <w:p>
            <w:pPr>
              <w:pStyle w:val="Compact"/>
              <w:jc w:val="left"/>
            </w:pPr>
            <w:r>
              <w:t xml:space="preserve">359</w:t>
            </w:r>
          </w:p>
        </w:tc>
      </w:tr>
      <w:tr>
        <w:tc>
          <w:tcPr/>
          <w:p>
            <w:pPr>
              <w:pStyle w:val="Compact"/>
              <w:jc w:val="left"/>
            </w:pPr>
            <w:r>
              <w:t xml:space="preserve">3110</w:t>
            </w:r>
          </w:p>
        </w:tc>
        <w:tc>
          <w:tcPr/>
          <w:p>
            <w:pPr>
              <w:pStyle w:val="Compact"/>
              <w:jc w:val="left"/>
            </w:pPr>
            <w:r>
              <w:t xml:space="preserve">99.03</w:t>
            </w:r>
          </w:p>
        </w:tc>
        <w:tc>
          <w:tcPr/>
          <w:p>
            <w:pPr>
              <w:pStyle w:val="Compact"/>
              <w:jc w:val="left"/>
            </w:pPr>
            <w:r>
              <w:t xml:space="preserve">0.67</w:t>
            </w:r>
          </w:p>
        </w:tc>
        <w:tc>
          <w:tcPr/>
          <w:p>
            <w:pPr>
              <w:pStyle w:val="Compact"/>
              <w:jc w:val="left"/>
            </w:pPr>
            <w:r>
              <w:t xml:space="preserve">828</w:t>
            </w:r>
          </w:p>
        </w:tc>
        <w:tc>
          <w:tcPr/>
          <w:p>
            <w:pPr>
              <w:pStyle w:val="Compact"/>
              <w:jc w:val="left"/>
            </w:pPr>
            <w:r>
              <w:t xml:space="preserve">94.71</w:t>
            </w:r>
          </w:p>
        </w:tc>
        <w:tc>
          <w:tcPr/>
          <w:p>
            <w:pPr>
              <w:pStyle w:val="Compact"/>
              <w:jc w:val="left"/>
            </w:pPr>
            <w:r>
              <w:t xml:space="preserve">1.17</w:t>
            </w:r>
          </w:p>
        </w:tc>
        <w:tc>
          <w:tcPr/>
          <w:p>
            <w:pPr>
              <w:pStyle w:val="Compact"/>
              <w:jc w:val="left"/>
            </w:pPr>
            <w:r>
              <w:t xml:space="preserve">828</w:t>
            </w:r>
          </w:p>
        </w:tc>
      </w:tr>
      <w:tr>
        <w:tc>
          <w:tcPr/>
          <w:p>
            <w:pPr>
              <w:pStyle w:val="Compact"/>
              <w:jc w:val="left"/>
            </w:pPr>
            <w:r>
              <w:t xml:space="preserve">3120</w:t>
            </w:r>
          </w:p>
        </w:tc>
        <w:tc>
          <w:tcPr/>
          <w:p>
            <w:pPr>
              <w:pStyle w:val="Compact"/>
              <w:jc w:val="left"/>
            </w:pPr>
            <w:r>
              <w:t xml:space="preserve">96.09</w:t>
            </w:r>
          </w:p>
        </w:tc>
        <w:tc>
          <w:tcPr/>
          <w:p>
            <w:pPr>
              <w:pStyle w:val="Compact"/>
              <w:jc w:val="left"/>
            </w:pPr>
            <w:r>
              <w:t xml:space="preserve">1.94</w:t>
            </w:r>
          </w:p>
        </w:tc>
        <w:tc>
          <w:tcPr/>
          <w:p>
            <w:pPr>
              <w:pStyle w:val="Compact"/>
              <w:jc w:val="left"/>
            </w:pPr>
            <w:r>
              <w:t xml:space="preserve">384</w:t>
            </w:r>
          </w:p>
        </w:tc>
        <w:tc>
          <w:tcPr/>
          <w:p>
            <w:pPr>
              <w:pStyle w:val="Compact"/>
              <w:jc w:val="left"/>
            </w:pPr>
            <w:r>
              <w:t xml:space="preserve">98.37</w:t>
            </w:r>
          </w:p>
        </w:tc>
        <w:tc>
          <w:tcPr/>
          <w:p>
            <w:pPr>
              <w:pStyle w:val="Compact"/>
              <w:jc w:val="left"/>
            </w:pPr>
            <w:r>
              <w:t xml:space="preserve">1.64</w:t>
            </w:r>
          </w:p>
        </w:tc>
        <w:tc>
          <w:tcPr/>
          <w:p>
            <w:pPr>
              <w:pStyle w:val="Compact"/>
              <w:jc w:val="left"/>
            </w:pPr>
            <w:r>
              <w:t xml:space="preserve">384</w:t>
            </w:r>
          </w:p>
        </w:tc>
      </w:tr>
      <w:tr>
        <w:tc>
          <w:tcPr/>
          <w:p>
            <w:pPr>
              <w:pStyle w:val="Compact"/>
              <w:jc w:val="left"/>
            </w:pPr>
            <w:r>
              <w:t xml:space="preserve">3210</w:t>
            </w:r>
          </w:p>
        </w:tc>
        <w:tc>
          <w:tcPr/>
          <w:p>
            <w:pPr>
              <w:pStyle w:val="Compact"/>
              <w:jc w:val="left"/>
            </w:pPr>
            <w:r>
              <w:t xml:space="preserve">98.99</w:t>
            </w:r>
          </w:p>
        </w:tc>
        <w:tc>
          <w:tcPr/>
          <w:p>
            <w:pPr>
              <w:pStyle w:val="Compact"/>
              <w:jc w:val="left"/>
            </w:pPr>
            <w:r>
              <w:t xml:space="preserve">0.75</w:t>
            </w:r>
          </w:p>
        </w:tc>
        <w:tc>
          <w:tcPr/>
          <w:p>
            <w:pPr>
              <w:pStyle w:val="Compact"/>
              <w:jc w:val="left"/>
            </w:pPr>
            <w:r>
              <w:t xml:space="preserve">693</w:t>
            </w:r>
          </w:p>
        </w:tc>
        <w:tc>
          <w:tcPr/>
          <w:p>
            <w:pPr>
              <w:pStyle w:val="Compact"/>
              <w:jc w:val="left"/>
            </w:pPr>
            <w:r>
              <w:t xml:space="preserve">94.69</w:t>
            </w:r>
          </w:p>
        </w:tc>
        <w:tc>
          <w:tcPr/>
          <w:p>
            <w:pPr>
              <w:pStyle w:val="Compact"/>
              <w:jc w:val="left"/>
            </w:pPr>
            <w:r>
              <w:t xml:space="preserve">1.36</w:t>
            </w:r>
          </w:p>
        </w:tc>
        <w:tc>
          <w:tcPr/>
          <w:p>
            <w:pPr>
              <w:pStyle w:val="Compact"/>
              <w:jc w:val="left"/>
            </w:pPr>
            <w:r>
              <w:t xml:space="preserve">693</w:t>
            </w:r>
          </w:p>
        </w:tc>
      </w:tr>
      <w:tr>
        <w:tc>
          <w:tcPr/>
          <w:p>
            <w:pPr>
              <w:pStyle w:val="Compact"/>
              <w:jc w:val="left"/>
            </w:pPr>
            <w:r>
              <w:t xml:space="preserve">3220</w:t>
            </w:r>
          </w:p>
        </w:tc>
        <w:tc>
          <w:tcPr/>
          <w:p>
            <w:pPr>
              <w:pStyle w:val="Compact"/>
              <w:jc w:val="left"/>
            </w:pPr>
            <w:r>
              <w:t xml:space="preserve">93.40</w:t>
            </w:r>
          </w:p>
        </w:tc>
        <w:tc>
          <w:tcPr/>
          <w:p>
            <w:pPr>
              <w:pStyle w:val="Compact"/>
              <w:jc w:val="left"/>
            </w:pPr>
            <w:r>
              <w:t xml:space="preserve">2.80</w:t>
            </w:r>
          </w:p>
        </w:tc>
        <w:tc>
          <w:tcPr/>
          <w:p>
            <w:pPr>
              <w:pStyle w:val="Compact"/>
              <w:jc w:val="left"/>
            </w:pPr>
            <w:r>
              <w:t xml:space="preserve">303</w:t>
            </w:r>
          </w:p>
        </w:tc>
        <w:tc>
          <w:tcPr/>
          <w:p>
            <w:pPr>
              <w:pStyle w:val="Compact"/>
              <w:jc w:val="left"/>
            </w:pPr>
            <w:r>
              <w:t xml:space="preserve">98.63</w:t>
            </w:r>
          </w:p>
        </w:tc>
        <w:tc>
          <w:tcPr/>
          <w:p>
            <w:pPr>
              <w:pStyle w:val="Compact"/>
              <w:jc w:val="left"/>
            </w:pPr>
            <w:r>
              <w:t xml:space="preserve">2.65</w:t>
            </w:r>
          </w:p>
        </w:tc>
        <w:tc>
          <w:tcPr/>
          <w:p>
            <w:pPr>
              <w:pStyle w:val="Compact"/>
              <w:jc w:val="left"/>
            </w:pPr>
            <w:r>
              <w:t xml:space="preserve">303</w:t>
            </w:r>
          </w:p>
        </w:tc>
      </w:tr>
      <w:tr>
        <w:tc>
          <w:tcPr/>
          <w:p>
            <w:pPr>
              <w:pStyle w:val="Compact"/>
              <w:jc w:val="left"/>
            </w:pPr>
            <w:r>
              <w:t xml:space="preserve">3310</w:t>
            </w:r>
          </w:p>
        </w:tc>
        <w:tc>
          <w:tcPr/>
          <w:p>
            <w:pPr>
              <w:pStyle w:val="Compact"/>
              <w:jc w:val="left"/>
            </w:pPr>
            <w:r>
              <w:t xml:space="preserve">96.91</w:t>
            </w:r>
          </w:p>
        </w:tc>
        <w:tc>
          <w:tcPr/>
          <w:p>
            <w:pPr>
              <w:pStyle w:val="Compact"/>
              <w:jc w:val="left"/>
            </w:pPr>
            <w:r>
              <w:t xml:space="preserve">1.54</w:t>
            </w:r>
          </w:p>
        </w:tc>
        <w:tc>
          <w:tcPr/>
          <w:p>
            <w:pPr>
              <w:pStyle w:val="Compact"/>
              <w:jc w:val="left"/>
            </w:pPr>
            <w:r>
              <w:t xml:space="preserve">486</w:t>
            </w:r>
          </w:p>
        </w:tc>
        <w:tc>
          <w:tcPr/>
          <w:p>
            <w:pPr>
              <w:pStyle w:val="Compact"/>
              <w:jc w:val="left"/>
            </w:pPr>
            <w:r>
              <w:t xml:space="preserve">99.14</w:t>
            </w:r>
          </w:p>
        </w:tc>
        <w:tc>
          <w:tcPr/>
          <w:p>
            <w:pPr>
              <w:pStyle w:val="Compact"/>
              <w:jc w:val="left"/>
            </w:pPr>
            <w:r>
              <w:t xml:space="preserve">0.63</w:t>
            </w:r>
          </w:p>
        </w:tc>
        <w:tc>
          <w:tcPr/>
          <w:p>
            <w:pPr>
              <w:pStyle w:val="Compact"/>
              <w:jc w:val="left"/>
            </w:pPr>
            <w:r>
              <w:t xml:space="preserve">486</w:t>
            </w:r>
          </w:p>
        </w:tc>
      </w:tr>
      <w:tr>
        <w:tc>
          <w:tcPr/>
          <w:p>
            <w:pPr>
              <w:pStyle w:val="Compact"/>
              <w:jc w:val="left"/>
            </w:pPr>
            <w:r>
              <w:t xml:space="preserve">3320</w:t>
            </w:r>
          </w:p>
        </w:tc>
        <w:tc>
          <w:tcPr/>
          <w:p>
            <w:pPr>
              <w:pStyle w:val="Compact"/>
              <w:jc w:val="left"/>
            </w:pPr>
            <w:r>
              <w:t xml:space="preserve">83.78</w:t>
            </w:r>
          </w:p>
        </w:tc>
        <w:tc>
          <w:tcPr/>
          <w:p>
            <w:pPr>
              <w:pStyle w:val="Compact"/>
              <w:jc w:val="left"/>
            </w:pPr>
            <w:r>
              <w:t xml:space="preserve">8.46</w:t>
            </w:r>
          </w:p>
        </w:tc>
        <w:tc>
          <w:tcPr/>
          <w:p>
            <w:pPr>
              <w:pStyle w:val="Compact"/>
              <w:jc w:val="left"/>
            </w:pPr>
            <w:r>
              <w:t xml:space="preserve">74</w:t>
            </w:r>
          </w:p>
        </w:tc>
        <w:tc>
          <w:tcPr/>
          <w:p>
            <w:pPr>
              <w:pStyle w:val="Compact"/>
              <w:jc w:val="left"/>
            </w:pPr>
            <w:r>
              <w:t xml:space="preserve">100.00</w:t>
            </w:r>
          </w:p>
        </w:tc>
        <w:tc>
          <w:tcPr/>
          <w:p>
            <w:pPr>
              <w:pStyle w:val="Compact"/>
              <w:jc w:val="left"/>
            </w:pPr>
            <w:r>
              <w:t xml:space="preserve">0.00</w:t>
            </w:r>
          </w:p>
        </w:tc>
        <w:tc>
          <w:tcPr/>
          <w:p>
            <w:pPr>
              <w:pStyle w:val="Compact"/>
              <w:jc w:val="left"/>
            </w:pPr>
            <w:r>
              <w:t xml:space="preserve">74</w:t>
            </w:r>
          </w:p>
        </w:tc>
      </w:tr>
      <w:tr>
        <w:tc>
          <w:tcPr/>
          <w:p>
            <w:pPr>
              <w:pStyle w:val="Compact"/>
              <w:jc w:val="left"/>
            </w:pPr>
            <w:r>
              <w:t xml:space="preserve">3400</w:t>
            </w:r>
          </w:p>
        </w:tc>
        <w:tc>
          <w:tcPr/>
          <w:p>
            <w:pPr>
              <w:pStyle w:val="Compact"/>
              <w:jc w:val="left"/>
            </w:pPr>
            <w:r>
              <w:t xml:space="preserve">95.56</w:t>
            </w:r>
          </w:p>
        </w:tc>
        <w:tc>
          <w:tcPr/>
          <w:p>
            <w:pPr>
              <w:pStyle w:val="Compact"/>
              <w:jc w:val="left"/>
            </w:pPr>
            <w:r>
              <w:t xml:space="preserve">0.91</w:t>
            </w:r>
          </w:p>
        </w:tc>
        <w:tc>
          <w:tcPr/>
          <w:p>
            <w:pPr>
              <w:pStyle w:val="Compact"/>
              <w:jc w:val="left"/>
            </w:pPr>
            <w:r>
              <w:t xml:space="preserve">1984</w:t>
            </w:r>
          </w:p>
        </w:tc>
        <w:tc>
          <w:tcPr/>
          <w:p>
            <w:pPr>
              <w:pStyle w:val="Compact"/>
              <w:jc w:val="left"/>
            </w:pPr>
            <w:r>
              <w:t xml:space="preserve">87.86</w:t>
            </w:r>
          </w:p>
        </w:tc>
        <w:tc>
          <w:tcPr/>
          <w:p>
            <w:pPr>
              <w:pStyle w:val="Compact"/>
              <w:jc w:val="left"/>
            </w:pPr>
            <w:r>
              <w:t xml:space="preserve">1.63</w:t>
            </w:r>
          </w:p>
        </w:tc>
        <w:tc>
          <w:tcPr/>
          <w:p>
            <w:pPr>
              <w:pStyle w:val="Compact"/>
              <w:jc w:val="left"/>
            </w:pPr>
            <w:r>
              <w:t xml:space="preserve">1984</w:t>
            </w:r>
          </w:p>
        </w:tc>
      </w:tr>
      <w:tr>
        <w:tc>
          <w:tcPr/>
          <w:p>
            <w:pPr>
              <w:pStyle w:val="Compact"/>
              <w:jc w:val="left"/>
            </w:pPr>
            <w:r>
              <w:t xml:space="preserve">3500</w:t>
            </w:r>
          </w:p>
        </w:tc>
        <w:tc>
          <w:tcPr/>
          <w:p>
            <w:pPr>
              <w:pStyle w:val="Compact"/>
              <w:jc w:val="left"/>
            </w:pPr>
            <w:r>
              <w:t xml:space="preserve">97.78</w:t>
            </w:r>
          </w:p>
        </w:tc>
        <w:tc>
          <w:tcPr/>
          <w:p>
            <w:pPr>
              <w:pStyle w:val="Compact"/>
              <w:jc w:val="left"/>
            </w:pPr>
            <w:r>
              <w:t xml:space="preserve">1.36</w:t>
            </w:r>
          </w:p>
        </w:tc>
        <w:tc>
          <w:tcPr/>
          <w:p>
            <w:pPr>
              <w:pStyle w:val="Compact"/>
              <w:jc w:val="left"/>
            </w:pPr>
            <w:r>
              <w:t xml:space="preserve">450</w:t>
            </w:r>
          </w:p>
        </w:tc>
        <w:tc>
          <w:tcPr/>
          <w:p>
            <w:pPr>
              <w:pStyle w:val="Compact"/>
              <w:jc w:val="left"/>
            </w:pPr>
            <w:r>
              <w:t xml:space="preserve">99.34</w:t>
            </w:r>
          </w:p>
        </w:tc>
        <w:tc>
          <w:tcPr/>
          <w:p>
            <w:pPr>
              <w:pStyle w:val="Compact"/>
              <w:jc w:val="left"/>
            </w:pPr>
            <w:r>
              <w:t xml:space="preserve">0.90</w:t>
            </w:r>
          </w:p>
        </w:tc>
        <w:tc>
          <w:tcPr/>
          <w:p>
            <w:pPr>
              <w:pStyle w:val="Compact"/>
              <w:jc w:val="left"/>
            </w:pPr>
            <w:r>
              <w:t xml:space="preserve">450</w:t>
            </w:r>
          </w:p>
        </w:tc>
      </w:tr>
      <w:tr>
        <w:tc>
          <w:tcPr/>
          <w:p>
            <w:pPr>
              <w:pStyle w:val="Compact"/>
              <w:jc w:val="left"/>
            </w:pPr>
            <w:r>
              <w:t xml:space="preserve">3600</w:t>
            </w:r>
          </w:p>
        </w:tc>
        <w:tc>
          <w:tcPr/>
          <w:p>
            <w:pPr>
              <w:pStyle w:val="Compact"/>
              <w:jc w:val="left"/>
            </w:pPr>
            <w:r>
              <w:t xml:space="preserve">68.60</w:t>
            </w:r>
          </w:p>
        </w:tc>
        <w:tc>
          <w:tcPr/>
          <w:p>
            <w:pPr>
              <w:pStyle w:val="Compact"/>
              <w:jc w:val="left"/>
            </w:pPr>
            <w:r>
              <w:t xml:space="preserve">5.67</w:t>
            </w:r>
          </w:p>
        </w:tc>
        <w:tc>
          <w:tcPr/>
          <w:p>
            <w:pPr>
              <w:pStyle w:val="Compact"/>
              <w:jc w:val="left"/>
            </w:pPr>
            <w:r>
              <w:t xml:space="preserve">258</w:t>
            </w:r>
          </w:p>
        </w:tc>
        <w:tc>
          <w:tcPr/>
          <w:p>
            <w:pPr>
              <w:pStyle w:val="Compact"/>
              <w:jc w:val="left"/>
            </w:pPr>
            <w:r>
              <w:t xml:space="preserve">99.19</w:t>
            </w:r>
          </w:p>
        </w:tc>
        <w:tc>
          <w:tcPr/>
          <w:p>
            <w:pPr>
              <w:pStyle w:val="Compact"/>
              <w:jc w:val="left"/>
            </w:pPr>
            <w:r>
              <w:t xml:space="preserve">1.12</w:t>
            </w:r>
          </w:p>
        </w:tc>
        <w:tc>
          <w:tcPr/>
          <w:p>
            <w:pPr>
              <w:pStyle w:val="Compact"/>
              <w:jc w:val="left"/>
            </w:pPr>
            <w:r>
              <w:t xml:space="preserve">258</w:t>
            </w:r>
          </w:p>
        </w:tc>
      </w:tr>
      <w:tr>
        <w:tc>
          <w:tcPr/>
          <w:p>
            <w:pPr>
              <w:pStyle w:val="Compact"/>
              <w:jc w:val="left"/>
            </w:pPr>
            <w:r>
              <w:t xml:space="preserve">4100</w:t>
            </w:r>
          </w:p>
        </w:tc>
        <w:tc>
          <w:tcPr/>
          <w:p>
            <w:pPr>
              <w:pStyle w:val="Compact"/>
              <w:jc w:val="left"/>
            </w:pPr>
            <w:r>
              <w:t xml:space="preserve">97.77</w:t>
            </w:r>
          </w:p>
        </w:tc>
        <w:tc>
          <w:tcPr/>
          <w:p>
            <w:pPr>
              <w:pStyle w:val="Compact"/>
              <w:jc w:val="left"/>
            </w:pPr>
            <w:r>
              <w:t xml:space="preserve">1.02</w:t>
            </w:r>
          </w:p>
        </w:tc>
        <w:tc>
          <w:tcPr/>
          <w:p>
            <w:pPr>
              <w:pStyle w:val="Compact"/>
              <w:jc w:val="left"/>
            </w:pPr>
            <w:r>
              <w:t xml:space="preserve">808</w:t>
            </w:r>
          </w:p>
        </w:tc>
        <w:tc>
          <w:tcPr/>
          <w:p>
            <w:pPr>
              <w:pStyle w:val="Compact"/>
              <w:jc w:val="left"/>
            </w:pPr>
            <w:r>
              <w:t xml:space="preserve">96.30</w:t>
            </w:r>
          </w:p>
        </w:tc>
        <w:tc>
          <w:tcPr/>
          <w:p>
            <w:pPr>
              <w:pStyle w:val="Compact"/>
              <w:jc w:val="left"/>
            </w:pPr>
            <w:r>
              <w:t xml:space="preserve">1.15</w:t>
            </w:r>
          </w:p>
        </w:tc>
        <w:tc>
          <w:tcPr/>
          <w:p>
            <w:pPr>
              <w:pStyle w:val="Compact"/>
              <w:jc w:val="left"/>
            </w:pPr>
            <w:r>
              <w:t xml:space="preserve">808</w:t>
            </w:r>
          </w:p>
        </w:tc>
      </w:tr>
      <w:tr>
        <w:tc>
          <w:tcPr/>
          <w:p>
            <w:pPr>
              <w:pStyle w:val="Compact"/>
              <w:jc w:val="left"/>
            </w:pPr>
            <w:r>
              <w:t xml:space="preserve">4211</w:t>
            </w:r>
          </w:p>
        </w:tc>
        <w:tc>
          <w:tcPr/>
          <w:p>
            <w:pPr>
              <w:pStyle w:val="Compact"/>
              <w:jc w:val="left"/>
            </w:pPr>
            <w:r>
              <w:t xml:space="preserve">88.93</w:t>
            </w:r>
          </w:p>
        </w:tc>
        <w:tc>
          <w:tcPr/>
          <w:p>
            <w:pPr>
              <w:pStyle w:val="Compact"/>
              <w:jc w:val="left"/>
            </w:pPr>
            <w:r>
              <w:t xml:space="preserve">3.87</w:t>
            </w:r>
          </w:p>
        </w:tc>
        <w:tc>
          <w:tcPr/>
          <w:p>
            <w:pPr>
              <w:pStyle w:val="Compact"/>
              <w:jc w:val="left"/>
            </w:pPr>
            <w:r>
              <w:t xml:space="preserve">253</w:t>
            </w:r>
          </w:p>
        </w:tc>
        <w:tc>
          <w:tcPr/>
          <w:p>
            <w:pPr>
              <w:pStyle w:val="Compact"/>
              <w:jc w:val="left"/>
            </w:pPr>
            <w:r>
              <w:t xml:space="preserve">89.36</w:t>
            </w:r>
          </w:p>
        </w:tc>
        <w:tc>
          <w:tcPr/>
          <w:p>
            <w:pPr>
              <w:pStyle w:val="Compact"/>
              <w:jc w:val="left"/>
            </w:pPr>
            <w:r>
              <w:t xml:space="preserve">3.30</w:t>
            </w:r>
          </w:p>
        </w:tc>
        <w:tc>
          <w:tcPr/>
          <w:p>
            <w:pPr>
              <w:pStyle w:val="Compact"/>
              <w:jc w:val="left"/>
            </w:pPr>
            <w:r>
              <w:t xml:space="preserve">253</w:t>
            </w:r>
          </w:p>
        </w:tc>
      </w:tr>
      <w:tr>
        <w:tc>
          <w:tcPr/>
          <w:p>
            <w:pPr>
              <w:pStyle w:val="Compact"/>
              <w:jc w:val="left"/>
            </w:pPr>
            <w:r>
              <w:t xml:space="preserve">4212</w:t>
            </w:r>
          </w:p>
        </w:tc>
        <w:tc>
          <w:tcPr/>
          <w:p>
            <w:pPr>
              <w:pStyle w:val="Compact"/>
              <w:jc w:val="left"/>
            </w:pPr>
            <w:r>
              <w:t xml:space="preserve">95.25</w:t>
            </w:r>
          </w:p>
        </w:tc>
        <w:tc>
          <w:tcPr/>
          <w:p>
            <w:pPr>
              <w:pStyle w:val="Compact"/>
              <w:jc w:val="left"/>
            </w:pPr>
            <w:r>
              <w:t xml:space="preserve">1.14</w:t>
            </w:r>
          </w:p>
        </w:tc>
        <w:tc>
          <w:tcPr/>
          <w:p>
            <w:pPr>
              <w:pStyle w:val="Compact"/>
              <w:jc w:val="left"/>
            </w:pPr>
            <w:r>
              <w:t xml:space="preserve">1348</w:t>
            </w:r>
          </w:p>
        </w:tc>
        <w:tc>
          <w:tcPr/>
          <w:p>
            <w:pPr>
              <w:pStyle w:val="Compact"/>
              <w:jc w:val="left"/>
            </w:pPr>
            <w:r>
              <w:t xml:space="preserve">92.27</w:t>
            </w:r>
          </w:p>
        </w:tc>
        <w:tc>
          <w:tcPr/>
          <w:p>
            <w:pPr>
              <w:pStyle w:val="Compact"/>
              <w:jc w:val="left"/>
            </w:pPr>
            <w:r>
              <w:t xml:space="preserve">1.39</w:t>
            </w:r>
          </w:p>
        </w:tc>
        <w:tc>
          <w:tcPr/>
          <w:p>
            <w:pPr>
              <w:pStyle w:val="Compact"/>
              <w:jc w:val="left"/>
            </w:pPr>
            <w:r>
              <w:t xml:space="preserve">1348</w:t>
            </w:r>
          </w:p>
        </w:tc>
      </w:tr>
      <w:tr>
        <w:tc>
          <w:tcPr/>
          <w:p>
            <w:pPr>
              <w:pStyle w:val="Compact"/>
              <w:jc w:val="left"/>
            </w:pPr>
            <w:r>
              <w:t xml:space="preserve">4220</w:t>
            </w:r>
          </w:p>
        </w:tc>
        <w:tc>
          <w:tcPr/>
          <w:p>
            <w:pPr>
              <w:pStyle w:val="Compact"/>
              <w:jc w:val="left"/>
            </w:pPr>
            <w:r>
              <w:t xml:space="preserve">99.11</w:t>
            </w:r>
          </w:p>
        </w:tc>
        <w:tc>
          <w:tcPr/>
          <w:p>
            <w:pPr>
              <w:pStyle w:val="Compact"/>
              <w:jc w:val="left"/>
            </w:pPr>
            <w:r>
              <w:t xml:space="preserve">1.01</w:t>
            </w:r>
          </w:p>
        </w:tc>
        <w:tc>
          <w:tcPr/>
          <w:p>
            <w:pPr>
              <w:pStyle w:val="Compact"/>
              <w:jc w:val="left"/>
            </w:pPr>
            <w:r>
              <w:t xml:space="preserve">336</w:t>
            </w:r>
          </w:p>
        </w:tc>
        <w:tc>
          <w:tcPr/>
          <w:p>
            <w:pPr>
              <w:pStyle w:val="Compact"/>
              <w:jc w:val="left"/>
            </w:pPr>
            <w:r>
              <w:t xml:space="preserve">97.29</w:t>
            </w:r>
          </w:p>
        </w:tc>
        <w:tc>
          <w:tcPr/>
          <w:p>
            <w:pPr>
              <w:pStyle w:val="Compact"/>
              <w:jc w:val="left"/>
            </w:pPr>
            <w:r>
              <w:t xml:space="preserve">1.39</w:t>
            </w:r>
          </w:p>
        </w:tc>
        <w:tc>
          <w:tcPr/>
          <w:p>
            <w:pPr>
              <w:pStyle w:val="Compact"/>
              <w:jc w:val="left"/>
            </w:pPr>
            <w:r>
              <w:t xml:space="preserve">336</w:t>
            </w:r>
          </w:p>
        </w:tc>
      </w:tr>
      <w:tr>
        <w:tc>
          <w:tcPr/>
          <w:p>
            <w:pPr>
              <w:pStyle w:val="Compact"/>
              <w:jc w:val="left"/>
            </w:pPr>
            <w:r>
              <w:t xml:space="preserve">5100</w:t>
            </w:r>
          </w:p>
        </w:tc>
        <w:tc>
          <w:tcPr/>
          <w:p>
            <w:pPr>
              <w:pStyle w:val="Compact"/>
              <w:jc w:val="left"/>
            </w:pPr>
            <w:r>
              <w:t xml:space="preserve">97.50</w:t>
            </w:r>
          </w:p>
        </w:tc>
        <w:tc>
          <w:tcPr/>
          <w:p>
            <w:pPr>
              <w:pStyle w:val="Compact"/>
              <w:jc w:val="left"/>
            </w:pPr>
            <w:r>
              <w:t xml:space="preserve">1.17</w:t>
            </w:r>
          </w:p>
        </w:tc>
        <w:tc>
          <w:tcPr/>
          <w:p>
            <w:pPr>
              <w:pStyle w:val="Compact"/>
              <w:jc w:val="left"/>
            </w:pPr>
            <w:r>
              <w:t xml:space="preserve">680</w:t>
            </w:r>
          </w:p>
        </w:tc>
        <w:tc>
          <w:tcPr/>
          <w:p>
            <w:pPr>
              <w:pStyle w:val="Compact"/>
              <w:jc w:val="left"/>
            </w:pPr>
            <w:r>
              <w:t xml:space="preserve">98.13</w:t>
            </w:r>
          </w:p>
        </w:tc>
        <w:tc>
          <w:tcPr/>
          <w:p>
            <w:pPr>
              <w:pStyle w:val="Compact"/>
              <w:jc w:val="left"/>
            </w:pPr>
            <w:r>
              <w:t xml:space="preserve">0.92</w:t>
            </w:r>
          </w:p>
        </w:tc>
        <w:tc>
          <w:tcPr/>
          <w:p>
            <w:pPr>
              <w:pStyle w:val="Compact"/>
              <w:jc w:val="left"/>
            </w:pPr>
            <w:r>
              <w:t xml:space="preserve">680</w:t>
            </w:r>
          </w:p>
        </w:tc>
      </w:tr>
      <w:tr>
        <w:tc>
          <w:tcPr/>
          <w:p>
            <w:pPr>
              <w:pStyle w:val="Compact"/>
              <w:jc w:val="left"/>
            </w:pPr>
            <w:r>
              <w:t xml:space="preserve">5200</w:t>
            </w:r>
          </w:p>
        </w:tc>
        <w:tc>
          <w:tcPr/>
          <w:p>
            <w:pPr>
              <w:pStyle w:val="Compact"/>
              <w:jc w:val="left"/>
            </w:pPr>
            <w:r>
              <w:t xml:space="preserve">97.33</w:t>
            </w:r>
          </w:p>
        </w:tc>
        <w:tc>
          <w:tcPr/>
          <w:p>
            <w:pPr>
              <w:pStyle w:val="Compact"/>
              <w:jc w:val="left"/>
            </w:pPr>
            <w:r>
              <w:t xml:space="preserve">1.43</w:t>
            </w:r>
          </w:p>
        </w:tc>
        <w:tc>
          <w:tcPr/>
          <w:p>
            <w:pPr>
              <w:pStyle w:val="Compact"/>
              <w:jc w:val="left"/>
            </w:pPr>
            <w:r>
              <w:t xml:space="preserve">487</w:t>
            </w:r>
          </w:p>
        </w:tc>
        <w:tc>
          <w:tcPr/>
          <w:p>
            <w:pPr>
              <w:pStyle w:val="Compact"/>
              <w:jc w:val="left"/>
            </w:pPr>
            <w:r>
              <w:t xml:space="preserve">98.72</w:t>
            </w:r>
          </w:p>
        </w:tc>
        <w:tc>
          <w:tcPr/>
          <w:p>
            <w:pPr>
              <w:pStyle w:val="Compact"/>
              <w:jc w:val="left"/>
            </w:pPr>
            <w:r>
              <w:t xml:space="preserve">0.84</w:t>
            </w:r>
          </w:p>
        </w:tc>
        <w:tc>
          <w:tcPr/>
          <w:p>
            <w:pPr>
              <w:pStyle w:val="Compact"/>
              <w:jc w:val="left"/>
            </w:pPr>
            <w:r>
              <w:t xml:space="preserve">487</w:t>
            </w:r>
          </w:p>
        </w:tc>
      </w:tr>
      <w:tr>
        <w:tc>
          <w:tcPr/>
          <w:p>
            <w:pPr>
              <w:pStyle w:val="Compact"/>
              <w:jc w:val="left"/>
            </w:pPr>
            <w:r>
              <w:t xml:space="preserve">5300</w:t>
            </w:r>
          </w:p>
        </w:tc>
        <w:tc>
          <w:tcPr/>
          <w:p>
            <w:pPr>
              <w:pStyle w:val="Compact"/>
              <w:jc w:val="left"/>
            </w:pPr>
            <w:r>
              <w:t xml:space="preserve">96.68</w:t>
            </w:r>
          </w:p>
        </w:tc>
        <w:tc>
          <w:tcPr/>
          <w:p>
            <w:pPr>
              <w:pStyle w:val="Compact"/>
              <w:jc w:val="left"/>
            </w:pPr>
            <w:r>
              <w:t xml:space="preserve">1.15</w:t>
            </w:r>
          </w:p>
        </w:tc>
        <w:tc>
          <w:tcPr/>
          <w:p>
            <w:pPr>
              <w:pStyle w:val="Compact"/>
              <w:jc w:val="left"/>
            </w:pPr>
            <w:r>
              <w:t xml:space="preserve">933</w:t>
            </w:r>
          </w:p>
        </w:tc>
        <w:tc>
          <w:tcPr/>
          <w:p>
            <w:pPr>
              <w:pStyle w:val="Compact"/>
              <w:jc w:val="left"/>
            </w:pPr>
            <w:r>
              <w:t xml:space="preserve">96.71</w:t>
            </w:r>
          </w:p>
        </w:tc>
        <w:tc>
          <w:tcPr/>
          <w:p>
            <w:pPr>
              <w:pStyle w:val="Compact"/>
              <w:jc w:val="left"/>
            </w:pPr>
            <w:r>
              <w:t xml:space="preserve">1.14</w:t>
            </w:r>
          </w:p>
        </w:tc>
        <w:tc>
          <w:tcPr/>
          <w:p>
            <w:pPr>
              <w:pStyle w:val="Compact"/>
              <w:jc w:val="left"/>
            </w:pPr>
            <w:r>
              <w:t xml:space="preserve">933</w:t>
            </w:r>
          </w:p>
        </w:tc>
      </w:tr>
      <w:tr>
        <w:tc>
          <w:tcPr/>
          <w:p>
            <w:pPr>
              <w:pStyle w:val="Compact"/>
              <w:jc w:val="left"/>
            </w:pPr>
            <w:r>
              <w:t xml:space="preserve">6100</w:t>
            </w:r>
          </w:p>
        </w:tc>
        <w:tc>
          <w:tcPr/>
          <w:p>
            <w:pPr>
              <w:pStyle w:val="Compact"/>
              <w:jc w:val="left"/>
            </w:pPr>
            <w:r>
              <w:t xml:space="preserve">92.37</w:t>
            </w:r>
          </w:p>
        </w:tc>
        <w:tc>
          <w:tcPr/>
          <w:p>
            <w:pPr>
              <w:pStyle w:val="Compact"/>
              <w:jc w:val="left"/>
            </w:pPr>
            <w:r>
              <w:t xml:space="preserve">1.74</w:t>
            </w:r>
          </w:p>
        </w:tc>
        <w:tc>
          <w:tcPr/>
          <w:p>
            <w:pPr>
              <w:pStyle w:val="Compact"/>
              <w:jc w:val="left"/>
            </w:pPr>
            <w:r>
              <w:t xml:space="preserve">891</w:t>
            </w:r>
          </w:p>
        </w:tc>
        <w:tc>
          <w:tcPr/>
          <w:p>
            <w:pPr>
              <w:pStyle w:val="Compact"/>
              <w:jc w:val="left"/>
            </w:pPr>
            <w:r>
              <w:t xml:space="preserve">96.34</w:t>
            </w:r>
          </w:p>
        </w:tc>
        <w:tc>
          <w:tcPr/>
          <w:p>
            <w:pPr>
              <w:pStyle w:val="Compact"/>
              <w:jc w:val="left"/>
            </w:pPr>
            <w:r>
              <w:t xml:space="preserve">1.35</w:t>
            </w:r>
          </w:p>
        </w:tc>
        <w:tc>
          <w:tcPr/>
          <w:p>
            <w:pPr>
              <w:pStyle w:val="Compact"/>
              <w:jc w:val="left"/>
            </w:pPr>
            <w:r>
              <w:t xml:space="preserve">891</w:t>
            </w:r>
          </w:p>
        </w:tc>
      </w:tr>
      <w:tr>
        <w:tc>
          <w:tcPr/>
          <w:p>
            <w:pPr>
              <w:pStyle w:val="Compact"/>
              <w:jc w:val="left"/>
            </w:pPr>
            <w:r>
              <w:t xml:space="preserve">6210</w:t>
            </w:r>
          </w:p>
        </w:tc>
        <w:tc>
          <w:tcPr/>
          <w:p>
            <w:pPr>
              <w:pStyle w:val="Compact"/>
              <w:jc w:val="left"/>
            </w:pPr>
            <w:r>
              <w:t xml:space="preserve">92.34</w:t>
            </w:r>
          </w:p>
        </w:tc>
        <w:tc>
          <w:tcPr/>
          <w:p>
            <w:pPr>
              <w:pStyle w:val="Compact"/>
              <w:jc w:val="left"/>
            </w:pPr>
            <w:r>
              <w:t xml:space="preserve">2.44</w:t>
            </w:r>
          </w:p>
        </w:tc>
        <w:tc>
          <w:tcPr/>
          <w:p>
            <w:pPr>
              <w:pStyle w:val="Compact"/>
              <w:jc w:val="left"/>
            </w:pPr>
            <w:r>
              <w:t xml:space="preserve">457</w:t>
            </w:r>
          </w:p>
        </w:tc>
        <w:tc>
          <w:tcPr/>
          <w:p>
            <w:pPr>
              <w:pStyle w:val="Compact"/>
              <w:jc w:val="left"/>
            </w:pPr>
            <w:r>
              <w:t xml:space="preserve">97.36</w:t>
            </w:r>
          </w:p>
        </w:tc>
        <w:tc>
          <w:tcPr/>
          <w:p>
            <w:pPr>
              <w:pStyle w:val="Compact"/>
              <w:jc w:val="left"/>
            </w:pPr>
            <w:r>
              <w:t xml:space="preserve">2.52</w:t>
            </w:r>
          </w:p>
        </w:tc>
        <w:tc>
          <w:tcPr/>
          <w:p>
            <w:pPr>
              <w:pStyle w:val="Compact"/>
              <w:jc w:val="left"/>
            </w:pPr>
            <w:r>
              <w:t xml:space="preserve">457</w:t>
            </w:r>
          </w:p>
        </w:tc>
      </w:tr>
      <w:tr>
        <w:tc>
          <w:tcPr/>
          <w:p>
            <w:pPr>
              <w:pStyle w:val="Compact"/>
              <w:jc w:val="left"/>
            </w:pPr>
            <w:r>
              <w:t xml:space="preserve">6220</w:t>
            </w:r>
          </w:p>
        </w:tc>
        <w:tc>
          <w:tcPr/>
          <w:p>
            <w:pPr>
              <w:pStyle w:val="Compact"/>
              <w:jc w:val="left"/>
            </w:pPr>
            <w:r>
              <w:t xml:space="preserve">95.43</w:t>
            </w:r>
          </w:p>
        </w:tc>
        <w:tc>
          <w:tcPr/>
          <w:p>
            <w:pPr>
              <w:pStyle w:val="Compact"/>
              <w:jc w:val="left"/>
            </w:pPr>
            <w:r>
              <w:t xml:space="preserve">1.63</w:t>
            </w:r>
          </w:p>
        </w:tc>
        <w:tc>
          <w:tcPr/>
          <w:p>
            <w:pPr>
              <w:pStyle w:val="Compact"/>
              <w:jc w:val="left"/>
            </w:pPr>
            <w:r>
              <w:t xml:space="preserve">635</w:t>
            </w:r>
          </w:p>
        </w:tc>
        <w:tc>
          <w:tcPr/>
          <w:p>
            <w:pPr>
              <w:pStyle w:val="Compact"/>
              <w:jc w:val="left"/>
            </w:pPr>
            <w:r>
              <w:t xml:space="preserve">98.73</w:t>
            </w:r>
          </w:p>
        </w:tc>
        <w:tc>
          <w:tcPr/>
          <w:p>
            <w:pPr>
              <w:pStyle w:val="Compact"/>
              <w:jc w:val="left"/>
            </w:pPr>
            <w:r>
              <w:t xml:space="preserve">1.22</w:t>
            </w:r>
          </w:p>
        </w:tc>
        <w:tc>
          <w:tcPr/>
          <w:p>
            <w:pPr>
              <w:pStyle w:val="Compact"/>
              <w:jc w:val="left"/>
            </w:pPr>
            <w:r>
              <w:t xml:space="preserve">635</w:t>
            </w:r>
          </w:p>
        </w:tc>
      </w:tr>
      <w:tr>
        <w:tc>
          <w:tcPr/>
          <w:p>
            <w:pPr>
              <w:pStyle w:val="Compact"/>
              <w:jc w:val="left"/>
            </w:pPr>
            <w:r>
              <w:t xml:space="preserve">6310</w:t>
            </w:r>
          </w:p>
        </w:tc>
        <w:tc>
          <w:tcPr/>
          <w:p>
            <w:pPr>
              <w:pStyle w:val="Compact"/>
              <w:jc w:val="left"/>
            </w:pPr>
            <w:r>
              <w:t xml:space="preserve">96.04</w:t>
            </w:r>
          </w:p>
        </w:tc>
        <w:tc>
          <w:tcPr/>
          <w:p>
            <w:pPr>
              <w:pStyle w:val="Compact"/>
              <w:jc w:val="left"/>
            </w:pPr>
            <w:r>
              <w:t xml:space="preserve">1.62</w:t>
            </w:r>
          </w:p>
        </w:tc>
        <w:tc>
          <w:tcPr/>
          <w:p>
            <w:pPr>
              <w:pStyle w:val="Compact"/>
              <w:jc w:val="left"/>
            </w:pPr>
            <w:r>
              <w:t xml:space="preserve">555</w:t>
            </w:r>
          </w:p>
        </w:tc>
        <w:tc>
          <w:tcPr/>
          <w:p>
            <w:pPr>
              <w:pStyle w:val="Compact"/>
              <w:jc w:val="left"/>
            </w:pPr>
            <w:r>
              <w:t xml:space="preserve">98.78</w:t>
            </w:r>
          </w:p>
        </w:tc>
        <w:tc>
          <w:tcPr/>
          <w:p>
            <w:pPr>
              <w:pStyle w:val="Compact"/>
              <w:jc w:val="left"/>
            </w:pPr>
            <w:r>
              <w:t xml:space="preserve">0.63</w:t>
            </w:r>
          </w:p>
        </w:tc>
        <w:tc>
          <w:tcPr/>
          <w:p>
            <w:pPr>
              <w:pStyle w:val="Compact"/>
              <w:jc w:val="left"/>
            </w:pPr>
            <w:r>
              <w:t xml:space="preserve">555</w:t>
            </w:r>
          </w:p>
        </w:tc>
      </w:tr>
      <w:tr>
        <w:tc>
          <w:tcPr/>
          <w:p>
            <w:pPr>
              <w:pStyle w:val="Compact"/>
              <w:jc w:val="left"/>
            </w:pPr>
            <w:r>
              <w:t xml:space="preserve">6320</w:t>
            </w:r>
          </w:p>
        </w:tc>
        <w:tc>
          <w:tcPr/>
          <w:p>
            <w:pPr>
              <w:pStyle w:val="Compact"/>
              <w:jc w:val="left"/>
            </w:pPr>
            <w:r>
              <w:t xml:space="preserve">92.50</w:t>
            </w:r>
          </w:p>
        </w:tc>
        <w:tc>
          <w:tcPr/>
          <w:p>
            <w:pPr>
              <w:pStyle w:val="Compact"/>
              <w:jc w:val="left"/>
            </w:pPr>
            <w:r>
              <w:t xml:space="preserve">2.21</w:t>
            </w:r>
          </w:p>
        </w:tc>
        <w:tc>
          <w:tcPr/>
          <w:p>
            <w:pPr>
              <w:pStyle w:val="Compact"/>
              <w:jc w:val="left"/>
            </w:pPr>
            <w:r>
              <w:t xml:space="preserve">547</w:t>
            </w:r>
          </w:p>
        </w:tc>
        <w:tc>
          <w:tcPr/>
          <w:p>
            <w:pPr>
              <w:pStyle w:val="Compact"/>
              <w:jc w:val="left"/>
            </w:pPr>
            <w:r>
              <w:t xml:space="preserve">100.00</w:t>
            </w:r>
          </w:p>
        </w:tc>
        <w:tc>
          <w:tcPr/>
          <w:p>
            <w:pPr>
              <w:pStyle w:val="Compact"/>
              <w:jc w:val="left"/>
            </w:pPr>
            <w:r>
              <w:t xml:space="preserve">0.00</w:t>
            </w:r>
          </w:p>
        </w:tc>
        <w:tc>
          <w:tcPr/>
          <w:p>
            <w:pPr>
              <w:pStyle w:val="Compact"/>
              <w:jc w:val="left"/>
            </w:pPr>
            <w:r>
              <w:t xml:space="preserve">547</w:t>
            </w:r>
          </w:p>
        </w:tc>
      </w:tr>
      <w:tr>
        <w:tc>
          <w:tcPr/>
          <w:p>
            <w:pPr>
              <w:pStyle w:val="Compact"/>
              <w:jc w:val="left"/>
            </w:pPr>
            <w:r>
              <w:t xml:space="preserve">6330</w:t>
            </w:r>
          </w:p>
        </w:tc>
        <w:tc>
          <w:tcPr/>
          <w:p>
            <w:pPr>
              <w:pStyle w:val="Compact"/>
              <w:jc w:val="left"/>
            </w:pPr>
            <w:r>
              <w:t xml:space="preserve">98.14</w:t>
            </w:r>
          </w:p>
        </w:tc>
        <w:tc>
          <w:tcPr/>
          <w:p>
            <w:pPr>
              <w:pStyle w:val="Compact"/>
              <w:jc w:val="left"/>
            </w:pPr>
            <w:r>
              <w:t xml:space="preserve">2.10</w:t>
            </w:r>
          </w:p>
        </w:tc>
        <w:tc>
          <w:tcPr/>
          <w:p>
            <w:pPr>
              <w:pStyle w:val="Compact"/>
              <w:jc w:val="left"/>
            </w:pPr>
            <w:r>
              <w:t xml:space="preserve">161</w:t>
            </w:r>
          </w:p>
        </w:tc>
        <w:tc>
          <w:tcPr/>
          <w:p>
            <w:pPr>
              <w:pStyle w:val="Compact"/>
              <w:jc w:val="left"/>
            </w:pPr>
            <w:r>
              <w:t xml:space="preserve">100.00</w:t>
            </w:r>
          </w:p>
        </w:tc>
        <w:tc>
          <w:tcPr/>
          <w:p>
            <w:pPr>
              <w:pStyle w:val="Compact"/>
              <w:jc w:val="left"/>
            </w:pPr>
            <w:r>
              <w:t xml:space="preserve">0.00</w:t>
            </w:r>
          </w:p>
        </w:tc>
        <w:tc>
          <w:tcPr/>
          <w:p>
            <w:pPr>
              <w:pStyle w:val="Compact"/>
              <w:jc w:val="left"/>
            </w:pPr>
            <w:r>
              <w:t xml:space="preserve">161</w:t>
            </w:r>
          </w:p>
        </w:tc>
      </w:tr>
      <w:tr>
        <w:tc>
          <w:tcPr/>
          <w:p>
            <w:pPr>
              <w:pStyle w:val="Compact"/>
              <w:jc w:val="left"/>
            </w:pPr>
            <w:r>
              <w:t xml:space="preserve">7110</w:t>
            </w:r>
          </w:p>
        </w:tc>
        <w:tc>
          <w:tcPr/>
          <w:p>
            <w:pPr>
              <w:pStyle w:val="Compact"/>
              <w:jc w:val="left"/>
            </w:pPr>
            <w:r>
              <w:t xml:space="preserve">97.63</w:t>
            </w:r>
          </w:p>
        </w:tc>
        <w:tc>
          <w:tcPr/>
          <w:p>
            <w:pPr>
              <w:pStyle w:val="Compact"/>
              <w:jc w:val="left"/>
            </w:pPr>
            <w:r>
              <w:t xml:space="preserve">1.38</w:t>
            </w:r>
          </w:p>
        </w:tc>
        <w:tc>
          <w:tcPr/>
          <w:p>
            <w:pPr>
              <w:pStyle w:val="Compact"/>
              <w:jc w:val="left"/>
            </w:pPr>
            <w:r>
              <w:t xml:space="preserve">465</w:t>
            </w:r>
          </w:p>
        </w:tc>
        <w:tc>
          <w:tcPr/>
          <w:p>
            <w:pPr>
              <w:pStyle w:val="Compact"/>
              <w:jc w:val="left"/>
            </w:pPr>
            <w:r>
              <w:t xml:space="preserve">96.51</w:t>
            </w:r>
          </w:p>
        </w:tc>
        <w:tc>
          <w:tcPr/>
          <w:p>
            <w:pPr>
              <w:pStyle w:val="Compact"/>
              <w:jc w:val="left"/>
            </w:pPr>
            <w:r>
              <w:t xml:space="preserve">1.39</w:t>
            </w:r>
          </w:p>
        </w:tc>
        <w:tc>
          <w:tcPr/>
          <w:p>
            <w:pPr>
              <w:pStyle w:val="Compact"/>
              <w:jc w:val="left"/>
            </w:pPr>
            <w:r>
              <w:t xml:space="preserve">465</w:t>
            </w:r>
          </w:p>
        </w:tc>
      </w:tr>
      <w:tr>
        <w:tc>
          <w:tcPr/>
          <w:p>
            <w:pPr>
              <w:pStyle w:val="Compact"/>
              <w:jc w:val="left"/>
            </w:pPr>
            <w:r>
              <w:t xml:space="preserve">7121</w:t>
            </w:r>
          </w:p>
        </w:tc>
        <w:tc>
          <w:tcPr/>
          <w:p>
            <w:pPr>
              <w:pStyle w:val="Compact"/>
              <w:jc w:val="left"/>
            </w:pPr>
            <w:r>
              <w:t xml:space="preserve">96.04</w:t>
            </w:r>
          </w:p>
        </w:tc>
        <w:tc>
          <w:tcPr/>
          <w:p>
            <w:pPr>
              <w:pStyle w:val="Compact"/>
              <w:jc w:val="left"/>
            </w:pPr>
            <w:r>
              <w:t xml:space="preserve">3.82</w:t>
            </w:r>
          </w:p>
        </w:tc>
        <w:tc>
          <w:tcPr/>
          <w:p>
            <w:pPr>
              <w:pStyle w:val="Compact"/>
              <w:jc w:val="left"/>
            </w:pPr>
            <w:r>
              <w:t xml:space="preserve">101</w:t>
            </w:r>
          </w:p>
        </w:tc>
        <w:tc>
          <w:tcPr/>
          <w:p>
            <w:pPr>
              <w:pStyle w:val="Compact"/>
              <w:jc w:val="left"/>
            </w:pPr>
            <w:r>
              <w:t xml:space="preserve">100.00</w:t>
            </w:r>
          </w:p>
        </w:tc>
        <w:tc>
          <w:tcPr/>
          <w:p>
            <w:pPr>
              <w:pStyle w:val="Compact"/>
              <w:jc w:val="left"/>
            </w:pPr>
            <w:r>
              <w:t xml:space="preserve">0.00</w:t>
            </w:r>
          </w:p>
        </w:tc>
        <w:tc>
          <w:tcPr/>
          <w:p>
            <w:pPr>
              <w:pStyle w:val="Compact"/>
              <w:jc w:val="left"/>
            </w:pPr>
            <w:r>
              <w:t xml:space="preserve">101</w:t>
            </w:r>
          </w:p>
        </w:tc>
      </w:tr>
      <w:tr>
        <w:tc>
          <w:tcPr/>
          <w:p>
            <w:pPr>
              <w:pStyle w:val="Compact"/>
              <w:jc w:val="left"/>
            </w:pPr>
            <w:r>
              <w:t xml:space="preserve">7122</w:t>
            </w:r>
          </w:p>
        </w:tc>
        <w:tc>
          <w:tcPr/>
          <w:p>
            <w:pPr>
              <w:pStyle w:val="Compact"/>
              <w:jc w:val="left"/>
            </w:pPr>
            <w:r>
              <w:t xml:space="preserve">100.00</w:t>
            </w:r>
          </w:p>
        </w:tc>
        <w:tc>
          <w:tcPr/>
          <w:p>
            <w:pPr>
              <w:pStyle w:val="Compact"/>
              <w:jc w:val="left"/>
            </w:pPr>
            <w:r>
              <w:t xml:space="preserve">0.00</w:t>
            </w:r>
          </w:p>
        </w:tc>
        <w:tc>
          <w:tcPr/>
          <w:p>
            <w:pPr>
              <w:pStyle w:val="Compact"/>
              <w:jc w:val="left"/>
            </w:pPr>
            <w:r>
              <w:t xml:space="preserve">168</w:t>
            </w:r>
          </w:p>
        </w:tc>
        <w:tc>
          <w:tcPr/>
          <w:p>
            <w:pPr>
              <w:pStyle w:val="Compact"/>
              <w:jc w:val="left"/>
            </w:pPr>
            <w:r>
              <w:t xml:space="preserve">98.92</w:t>
            </w:r>
          </w:p>
        </w:tc>
        <w:tc>
          <w:tcPr/>
          <w:p>
            <w:pPr>
              <w:pStyle w:val="Compact"/>
              <w:jc w:val="left"/>
            </w:pPr>
            <w:r>
              <w:t xml:space="preserve">1.24</w:t>
            </w:r>
          </w:p>
        </w:tc>
        <w:tc>
          <w:tcPr/>
          <w:p>
            <w:pPr>
              <w:pStyle w:val="Compact"/>
              <w:jc w:val="left"/>
            </w:pPr>
            <w:r>
              <w:t xml:space="preserve">168</w:t>
            </w:r>
          </w:p>
        </w:tc>
      </w:tr>
      <w:tr>
        <w:tc>
          <w:tcPr/>
          <w:p>
            <w:pPr>
              <w:pStyle w:val="Compact"/>
              <w:jc w:val="left"/>
            </w:pPr>
            <w:r>
              <w:t xml:space="preserve">7210</w:t>
            </w:r>
          </w:p>
        </w:tc>
        <w:tc>
          <w:tcPr/>
          <w:p>
            <w:pPr>
              <w:pStyle w:val="Compact"/>
              <w:jc w:val="left"/>
            </w:pPr>
            <w:r>
              <w:t xml:space="preserve">98.43</w:t>
            </w:r>
          </w:p>
        </w:tc>
        <w:tc>
          <w:tcPr/>
          <w:p>
            <w:pPr>
              <w:pStyle w:val="Compact"/>
              <w:jc w:val="left"/>
            </w:pPr>
            <w:r>
              <w:t xml:space="preserve">1.15</w:t>
            </w:r>
          </w:p>
        </w:tc>
        <w:tc>
          <w:tcPr/>
          <w:p>
            <w:pPr>
              <w:pStyle w:val="Compact"/>
              <w:jc w:val="left"/>
            </w:pPr>
            <w:r>
              <w:t xml:space="preserve">446</w:t>
            </w:r>
          </w:p>
        </w:tc>
        <w:tc>
          <w:tcPr/>
          <w:p>
            <w:pPr>
              <w:pStyle w:val="Compact"/>
              <w:jc w:val="left"/>
            </w:pPr>
            <w:r>
              <w:t xml:space="preserve">99.77</w:t>
            </w:r>
          </w:p>
        </w:tc>
        <w:tc>
          <w:tcPr/>
          <w:p>
            <w:pPr>
              <w:pStyle w:val="Compact"/>
              <w:jc w:val="left"/>
            </w:pPr>
            <w:r>
              <w:t xml:space="preserve">0.45</w:t>
            </w:r>
          </w:p>
        </w:tc>
        <w:tc>
          <w:tcPr/>
          <w:p>
            <w:pPr>
              <w:pStyle w:val="Compact"/>
              <w:jc w:val="left"/>
            </w:pPr>
            <w:r>
              <w:t xml:space="preserve">446</w:t>
            </w:r>
          </w:p>
        </w:tc>
      </w:tr>
      <w:tr>
        <w:tc>
          <w:tcPr/>
          <w:p>
            <w:pPr>
              <w:pStyle w:val="Compact"/>
              <w:jc w:val="left"/>
            </w:pPr>
            <w:r>
              <w:t xml:space="preserve">7220</w:t>
            </w:r>
          </w:p>
        </w:tc>
        <w:tc>
          <w:tcPr/>
          <w:p>
            <w:pPr>
              <w:pStyle w:val="Compact"/>
              <w:jc w:val="left"/>
            </w:pPr>
            <w:r>
              <w:t xml:space="preserve">100.00</w:t>
            </w:r>
          </w:p>
        </w:tc>
        <w:tc>
          <w:tcPr/>
          <w:p>
            <w:pPr>
              <w:pStyle w:val="Compact"/>
              <w:jc w:val="left"/>
            </w:pPr>
            <w:r>
              <w:t xml:space="preserve">0.00</w:t>
            </w:r>
          </w:p>
        </w:tc>
        <w:tc>
          <w:tcPr/>
          <w:p>
            <w:pPr>
              <w:pStyle w:val="Compact"/>
              <w:jc w:val="left"/>
            </w:pPr>
            <w:r>
              <w:t xml:space="preserve">408</w:t>
            </w:r>
          </w:p>
        </w:tc>
        <w:tc>
          <w:tcPr/>
          <w:p>
            <w:pPr>
              <w:pStyle w:val="Compact"/>
              <w:jc w:val="left"/>
            </w:pPr>
            <w:r>
              <w:t xml:space="preserve">100.00</w:t>
            </w:r>
          </w:p>
        </w:tc>
        <w:tc>
          <w:tcPr/>
          <w:p>
            <w:pPr>
              <w:pStyle w:val="Compact"/>
              <w:jc w:val="left"/>
            </w:pPr>
            <w:r>
              <w:t xml:space="preserve">0.00</w:t>
            </w:r>
          </w:p>
        </w:tc>
        <w:tc>
          <w:tcPr/>
          <w:p>
            <w:pPr>
              <w:pStyle w:val="Compact"/>
              <w:jc w:val="left"/>
            </w:pPr>
            <w:r>
              <w:t xml:space="preserve">408</w:t>
            </w:r>
          </w:p>
        </w:tc>
      </w:tr>
      <w:tr>
        <w:tc>
          <w:tcPr/>
          <w:p>
            <w:pPr>
              <w:pStyle w:val="Compact"/>
              <w:jc w:val="left"/>
            </w:pPr>
            <w:r>
              <w:t xml:space="preserve">7230</w:t>
            </w:r>
          </w:p>
        </w:tc>
        <w:tc>
          <w:tcPr/>
          <w:p>
            <w:pPr>
              <w:pStyle w:val="Compact"/>
              <w:jc w:val="left"/>
            </w:pPr>
            <w:r>
              <w:t xml:space="preserve">100.00</w:t>
            </w:r>
          </w:p>
        </w:tc>
        <w:tc>
          <w:tcPr/>
          <w:p>
            <w:pPr>
              <w:pStyle w:val="Compact"/>
              <w:jc w:val="left"/>
            </w:pPr>
            <w:r>
              <w:t xml:space="preserve">0.00</w:t>
            </w:r>
          </w:p>
        </w:tc>
        <w:tc>
          <w:tcPr/>
          <w:p>
            <w:pPr>
              <w:pStyle w:val="Compact"/>
              <w:jc w:val="left"/>
            </w:pPr>
            <w:r>
              <w:t xml:space="preserve">202</w:t>
            </w:r>
          </w:p>
        </w:tc>
        <w:tc>
          <w:tcPr/>
          <w:p>
            <w:pPr>
              <w:pStyle w:val="Compact"/>
              <w:jc w:val="left"/>
            </w:pPr>
            <w:r>
              <w:t xml:space="preserve">97.92</w:t>
            </w:r>
          </w:p>
        </w:tc>
        <w:tc>
          <w:tcPr/>
          <w:p>
            <w:pPr>
              <w:pStyle w:val="Compact"/>
              <w:jc w:val="left"/>
            </w:pPr>
            <w:r>
              <w:t xml:space="preserve">2.89</w:t>
            </w:r>
          </w:p>
        </w:tc>
        <w:tc>
          <w:tcPr/>
          <w:p>
            <w:pPr>
              <w:pStyle w:val="Compact"/>
              <w:jc w:val="left"/>
            </w:pPr>
            <w:r>
              <w:t xml:space="preserve">202</w:t>
            </w:r>
          </w:p>
        </w:tc>
      </w:tr>
      <w:tr>
        <w:tc>
          <w:tcPr/>
          <w:p>
            <w:pPr>
              <w:pStyle w:val="Compact"/>
              <w:jc w:val="left"/>
            </w:pPr>
            <w:r>
              <w:t xml:space="preserve">8110</w:t>
            </w:r>
          </w:p>
        </w:tc>
        <w:tc>
          <w:tcPr/>
          <w:p>
            <w:pPr>
              <w:pStyle w:val="Compact"/>
              <w:jc w:val="left"/>
            </w:pPr>
            <w:r>
              <w:t xml:space="preserve">98.97</w:t>
            </w:r>
          </w:p>
        </w:tc>
        <w:tc>
          <w:tcPr/>
          <w:p>
            <w:pPr>
              <w:pStyle w:val="Compact"/>
              <w:jc w:val="left"/>
            </w:pPr>
            <w:r>
              <w:t xml:space="preserve">0.76</w:t>
            </w:r>
          </w:p>
        </w:tc>
        <w:tc>
          <w:tcPr/>
          <w:p>
            <w:pPr>
              <w:pStyle w:val="Compact"/>
              <w:jc w:val="left"/>
            </w:pPr>
            <w:r>
              <w:t xml:space="preserve">681</w:t>
            </w:r>
          </w:p>
        </w:tc>
        <w:tc>
          <w:tcPr/>
          <w:p>
            <w:pPr>
              <w:pStyle w:val="Compact"/>
              <w:jc w:val="left"/>
            </w:pPr>
            <w:r>
              <w:t xml:space="preserve">97.57</w:t>
            </w:r>
          </w:p>
        </w:tc>
        <w:tc>
          <w:tcPr/>
          <w:p>
            <w:pPr>
              <w:pStyle w:val="Compact"/>
              <w:jc w:val="left"/>
            </w:pPr>
            <w:r>
              <w:t xml:space="preserve">0.90</w:t>
            </w:r>
          </w:p>
        </w:tc>
        <w:tc>
          <w:tcPr/>
          <w:p>
            <w:pPr>
              <w:pStyle w:val="Compact"/>
              <w:jc w:val="left"/>
            </w:pPr>
            <w:r>
              <w:t xml:space="preserve">681</w:t>
            </w:r>
          </w:p>
        </w:tc>
      </w:tr>
      <w:tr>
        <w:tc>
          <w:tcPr/>
          <w:p>
            <w:pPr>
              <w:pStyle w:val="Compact"/>
              <w:jc w:val="left"/>
            </w:pPr>
            <w:r>
              <w:t xml:space="preserve">8120</w:t>
            </w:r>
          </w:p>
        </w:tc>
        <w:tc>
          <w:tcPr/>
          <w:p>
            <w:pPr>
              <w:pStyle w:val="Compact"/>
              <w:jc w:val="left"/>
            </w:pPr>
            <w:r>
              <w:t xml:space="preserve">97.62</w:t>
            </w:r>
          </w:p>
        </w:tc>
        <w:tc>
          <w:tcPr/>
          <w:p>
            <w:pPr>
              <w:pStyle w:val="Compact"/>
              <w:jc w:val="left"/>
            </w:pPr>
            <w:r>
              <w:t xml:space="preserve">1.39</w:t>
            </w:r>
          </w:p>
        </w:tc>
        <w:tc>
          <w:tcPr/>
          <w:p>
            <w:pPr>
              <w:pStyle w:val="Compact"/>
              <w:jc w:val="left"/>
            </w:pPr>
            <w:r>
              <w:t xml:space="preserve">462</w:t>
            </w:r>
          </w:p>
        </w:tc>
        <w:tc>
          <w:tcPr/>
          <w:p>
            <w:pPr>
              <w:pStyle w:val="Compact"/>
              <w:jc w:val="left"/>
            </w:pPr>
            <w:r>
              <w:t xml:space="preserve">99.83</w:t>
            </w:r>
          </w:p>
        </w:tc>
        <w:tc>
          <w:tcPr/>
          <w:p>
            <w:pPr>
              <w:pStyle w:val="Compact"/>
              <w:jc w:val="left"/>
            </w:pPr>
            <w:r>
              <w:t xml:space="preserve">0.34</w:t>
            </w:r>
          </w:p>
        </w:tc>
        <w:tc>
          <w:tcPr/>
          <w:p>
            <w:pPr>
              <w:pStyle w:val="Compact"/>
              <w:jc w:val="left"/>
            </w:pPr>
            <w:r>
              <w:t xml:space="preserve">462</w:t>
            </w:r>
          </w:p>
        </w:tc>
      </w:tr>
      <w:tr>
        <w:tc>
          <w:tcPr/>
          <w:p>
            <w:pPr>
              <w:pStyle w:val="Compact"/>
              <w:jc w:val="left"/>
            </w:pPr>
            <w:r>
              <w:t xml:space="preserve">8130</w:t>
            </w:r>
          </w:p>
        </w:tc>
        <w:tc>
          <w:tcPr/>
          <w:p>
            <w:pPr>
              <w:pStyle w:val="Compact"/>
              <w:jc w:val="left"/>
            </w:pPr>
            <w:r>
              <w:t xml:space="preserve">94.21</w:t>
            </w:r>
          </w:p>
        </w:tc>
        <w:tc>
          <w:tcPr/>
          <w:p>
            <w:pPr>
              <w:pStyle w:val="Compact"/>
              <w:jc w:val="left"/>
            </w:pPr>
            <w:r>
              <w:t xml:space="preserve">2.30</w:t>
            </w:r>
          </w:p>
        </w:tc>
        <w:tc>
          <w:tcPr/>
          <w:p>
            <w:pPr>
              <w:pStyle w:val="Compact"/>
              <w:jc w:val="left"/>
            </w:pPr>
            <w:r>
              <w:t xml:space="preserve">397</w:t>
            </w:r>
          </w:p>
        </w:tc>
        <w:tc>
          <w:tcPr/>
          <w:p>
            <w:pPr>
              <w:pStyle w:val="Compact"/>
              <w:jc w:val="left"/>
            </w:pPr>
            <w:r>
              <w:t xml:space="preserve">98.48</w:t>
            </w:r>
          </w:p>
        </w:tc>
        <w:tc>
          <w:tcPr/>
          <w:p>
            <w:pPr>
              <w:pStyle w:val="Compact"/>
              <w:jc w:val="left"/>
            </w:pPr>
            <w:r>
              <w:t xml:space="preserve">2.07</w:t>
            </w:r>
          </w:p>
        </w:tc>
        <w:tc>
          <w:tcPr/>
          <w:p>
            <w:pPr>
              <w:pStyle w:val="Compact"/>
              <w:jc w:val="left"/>
            </w:pPr>
            <w:r>
              <w:t xml:space="preserve">397</w:t>
            </w:r>
          </w:p>
        </w:tc>
      </w:tr>
      <w:tr>
        <w:tc>
          <w:tcPr/>
          <w:p>
            <w:pPr>
              <w:pStyle w:val="Compact"/>
              <w:jc w:val="left"/>
            </w:pPr>
            <w:r>
              <w:t xml:space="preserve">8210</w:t>
            </w:r>
          </w:p>
        </w:tc>
        <w:tc>
          <w:tcPr/>
          <w:p>
            <w:pPr>
              <w:pStyle w:val="Compact"/>
              <w:jc w:val="left"/>
            </w:pPr>
            <w:r>
              <w:t xml:space="preserve">97.71</w:t>
            </w:r>
          </w:p>
        </w:tc>
        <w:tc>
          <w:tcPr/>
          <w:p>
            <w:pPr>
              <w:pStyle w:val="Compact"/>
              <w:jc w:val="left"/>
            </w:pPr>
            <w:r>
              <w:t xml:space="preserve">0.95</w:t>
            </w:r>
          </w:p>
        </w:tc>
        <w:tc>
          <w:tcPr/>
          <w:p>
            <w:pPr>
              <w:pStyle w:val="Compact"/>
              <w:jc w:val="left"/>
            </w:pPr>
            <w:r>
              <w:t xml:space="preserve">959</w:t>
            </w:r>
          </w:p>
        </w:tc>
        <w:tc>
          <w:tcPr/>
          <w:p>
            <w:pPr>
              <w:pStyle w:val="Compact"/>
              <w:jc w:val="left"/>
            </w:pPr>
            <w:r>
              <w:t xml:space="preserve">97.85</w:t>
            </w:r>
          </w:p>
        </w:tc>
        <w:tc>
          <w:tcPr/>
          <w:p>
            <w:pPr>
              <w:pStyle w:val="Compact"/>
              <w:jc w:val="left"/>
            </w:pPr>
            <w:r>
              <w:t xml:space="preserve">0.64</w:t>
            </w:r>
          </w:p>
        </w:tc>
        <w:tc>
          <w:tcPr/>
          <w:p>
            <w:pPr>
              <w:pStyle w:val="Compact"/>
              <w:jc w:val="left"/>
            </w:pPr>
            <w:r>
              <w:t xml:space="preserve">959</w:t>
            </w:r>
          </w:p>
        </w:tc>
      </w:tr>
      <w:tr>
        <w:tc>
          <w:tcPr/>
          <w:p>
            <w:pPr>
              <w:pStyle w:val="Compact"/>
              <w:jc w:val="left"/>
            </w:pPr>
            <w:r>
              <w:t xml:space="preserve">8220</w:t>
            </w:r>
          </w:p>
        </w:tc>
        <w:tc>
          <w:tcPr/>
          <w:p>
            <w:pPr>
              <w:pStyle w:val="Compact"/>
              <w:jc w:val="left"/>
            </w:pPr>
            <w:r>
              <w:t xml:space="preserve">95.39</w:t>
            </w:r>
          </w:p>
        </w:tc>
        <w:tc>
          <w:tcPr/>
          <w:p>
            <w:pPr>
              <w:pStyle w:val="Compact"/>
              <w:jc w:val="left"/>
            </w:pPr>
            <w:r>
              <w:t xml:space="preserve">1.84</w:t>
            </w:r>
          </w:p>
        </w:tc>
        <w:tc>
          <w:tcPr/>
          <w:p>
            <w:pPr>
              <w:pStyle w:val="Compact"/>
              <w:jc w:val="left"/>
            </w:pPr>
            <w:r>
              <w:t xml:space="preserve">499</w:t>
            </w:r>
          </w:p>
        </w:tc>
        <w:tc>
          <w:tcPr/>
          <w:p>
            <w:pPr>
              <w:pStyle w:val="Compact"/>
              <w:jc w:val="left"/>
            </w:pPr>
            <w:r>
              <w:t xml:space="preserve">96.11</w:t>
            </w:r>
          </w:p>
        </w:tc>
        <w:tc>
          <w:tcPr/>
          <w:p>
            <w:pPr>
              <w:pStyle w:val="Compact"/>
              <w:jc w:val="left"/>
            </w:pPr>
            <w:r>
              <w:t xml:space="preserve">2.85</w:t>
            </w:r>
          </w:p>
        </w:tc>
        <w:tc>
          <w:tcPr/>
          <w:p>
            <w:pPr>
              <w:pStyle w:val="Compact"/>
              <w:jc w:val="left"/>
            </w:pPr>
            <w:r>
              <w:t xml:space="preserve">499</w:t>
            </w:r>
          </w:p>
        </w:tc>
      </w:tr>
      <w:tr>
        <w:tc>
          <w:tcPr/>
          <w:p>
            <w:pPr>
              <w:pStyle w:val="Compact"/>
              <w:jc w:val="left"/>
            </w:pPr>
            <w:r>
              <w:t xml:space="preserve">8230</w:t>
            </w:r>
          </w:p>
        </w:tc>
        <w:tc>
          <w:tcPr/>
          <w:p>
            <w:pPr>
              <w:pStyle w:val="Compact"/>
              <w:jc w:val="left"/>
            </w:pPr>
            <w:r>
              <w:t xml:space="preserve">91.24</w:t>
            </w:r>
          </w:p>
        </w:tc>
        <w:tc>
          <w:tcPr/>
          <w:p>
            <w:pPr>
              <w:pStyle w:val="Compact"/>
              <w:jc w:val="left"/>
            </w:pPr>
            <w:r>
              <w:t xml:space="preserve">3.05</w:t>
            </w:r>
          </w:p>
        </w:tc>
        <w:tc>
          <w:tcPr/>
          <w:p>
            <w:pPr>
              <w:pStyle w:val="Compact"/>
              <w:jc w:val="left"/>
            </w:pPr>
            <w:r>
              <w:t xml:space="preserve">331</w:t>
            </w:r>
          </w:p>
        </w:tc>
        <w:tc>
          <w:tcPr/>
          <w:p>
            <w:pPr>
              <w:pStyle w:val="Compact"/>
              <w:jc w:val="left"/>
            </w:pPr>
            <w:r>
              <w:t xml:space="preserve">100.00</w:t>
            </w:r>
          </w:p>
        </w:tc>
        <w:tc>
          <w:tcPr/>
          <w:p>
            <w:pPr>
              <w:pStyle w:val="Compact"/>
              <w:jc w:val="left"/>
            </w:pPr>
            <w:r>
              <w:t xml:space="preserve">0.00</w:t>
            </w:r>
          </w:p>
        </w:tc>
        <w:tc>
          <w:tcPr/>
          <w:p>
            <w:pPr>
              <w:pStyle w:val="Compact"/>
              <w:jc w:val="left"/>
            </w:pPr>
            <w:r>
              <w:t xml:space="preserve">331</w:t>
            </w:r>
          </w:p>
        </w:tc>
      </w:tr>
      <w:tr>
        <w:tc>
          <w:tcPr/>
          <w:p>
            <w:pPr>
              <w:pStyle w:val="Compact"/>
              <w:jc w:val="left"/>
            </w:pPr>
            <w:r>
              <w:t xml:space="preserve">8240</w:t>
            </w:r>
          </w:p>
        </w:tc>
        <w:tc>
          <w:tcPr/>
          <w:p>
            <w:pPr>
              <w:pStyle w:val="Compact"/>
              <w:jc w:val="left"/>
            </w:pPr>
            <w:r>
              <w:t xml:space="preserve">98.24</w:t>
            </w:r>
          </w:p>
        </w:tc>
        <w:tc>
          <w:tcPr/>
          <w:p>
            <w:pPr>
              <w:pStyle w:val="Compact"/>
              <w:jc w:val="left"/>
            </w:pPr>
            <w:r>
              <w:t xml:space="preserve">1.08</w:t>
            </w:r>
          </w:p>
        </w:tc>
        <w:tc>
          <w:tcPr/>
          <w:p>
            <w:pPr>
              <w:pStyle w:val="Compact"/>
              <w:jc w:val="left"/>
            </w:pPr>
            <w:r>
              <w:t xml:space="preserve">567</w:t>
            </w:r>
          </w:p>
        </w:tc>
        <w:tc>
          <w:tcPr/>
          <w:p>
            <w:pPr>
              <w:pStyle w:val="Compact"/>
              <w:jc w:val="left"/>
            </w:pPr>
            <w:r>
              <w:t xml:space="preserve">97.08</w:t>
            </w:r>
          </w:p>
        </w:tc>
        <w:tc>
          <w:tcPr/>
          <w:p>
            <w:pPr>
              <w:pStyle w:val="Compact"/>
              <w:jc w:val="left"/>
            </w:pPr>
            <w:r>
              <w:t xml:space="preserve">2.26</w:t>
            </w:r>
          </w:p>
        </w:tc>
        <w:tc>
          <w:tcPr/>
          <w:p>
            <w:pPr>
              <w:pStyle w:val="Compact"/>
              <w:jc w:val="left"/>
            </w:pPr>
            <w:r>
              <w:t xml:space="preserve">567</w:t>
            </w:r>
          </w:p>
        </w:tc>
      </w:tr>
      <w:tr>
        <w:tc>
          <w:tcPr/>
          <w:p>
            <w:pPr>
              <w:pStyle w:val="Compact"/>
              <w:jc w:val="left"/>
            </w:pPr>
            <w:r>
              <w:t xml:space="preserve">8310</w:t>
            </w:r>
          </w:p>
        </w:tc>
        <w:tc>
          <w:tcPr/>
          <w:p>
            <w:pPr>
              <w:pStyle w:val="Compact"/>
              <w:jc w:val="left"/>
            </w:pPr>
            <w:r>
              <w:t xml:space="preserve">99.65</w:t>
            </w:r>
          </w:p>
        </w:tc>
        <w:tc>
          <w:tcPr/>
          <w:p>
            <w:pPr>
              <w:pStyle w:val="Compact"/>
              <w:jc w:val="left"/>
            </w:pPr>
            <w:r>
              <w:t xml:space="preserve">0.68</w:t>
            </w:r>
          </w:p>
        </w:tc>
        <w:tc>
          <w:tcPr/>
          <w:p>
            <w:pPr>
              <w:pStyle w:val="Compact"/>
              <w:jc w:val="left"/>
            </w:pPr>
            <w:r>
              <w:t xml:space="preserve">287</w:t>
            </w:r>
          </w:p>
        </w:tc>
        <w:tc>
          <w:tcPr/>
          <w:p>
            <w:pPr>
              <w:pStyle w:val="Compact"/>
              <w:jc w:val="left"/>
            </w:pPr>
            <w:r>
              <w:t xml:space="preserve">98.69</w:t>
            </w:r>
          </w:p>
        </w:tc>
        <w:tc>
          <w:tcPr/>
          <w:p>
            <w:pPr>
              <w:pStyle w:val="Compact"/>
              <w:jc w:val="left"/>
            </w:pPr>
            <w:r>
              <w:t xml:space="preserve">1.03</w:t>
            </w:r>
          </w:p>
        </w:tc>
        <w:tc>
          <w:tcPr/>
          <w:p>
            <w:pPr>
              <w:pStyle w:val="Compact"/>
              <w:jc w:val="left"/>
            </w:pPr>
            <w:r>
              <w:t xml:space="preserve">287</w:t>
            </w:r>
          </w:p>
        </w:tc>
      </w:tr>
      <w:tr>
        <w:tc>
          <w:tcPr/>
          <w:p>
            <w:pPr>
              <w:pStyle w:val="Compact"/>
              <w:jc w:val="left"/>
            </w:pPr>
            <w:r>
              <w:t xml:space="preserve">8320</w:t>
            </w:r>
          </w:p>
        </w:tc>
        <w:tc>
          <w:tcPr/>
          <w:p>
            <w:pPr>
              <w:pStyle w:val="Compact"/>
              <w:jc w:val="left"/>
            </w:pPr>
            <w:r>
              <w:t xml:space="preserve">99.63</w:t>
            </w:r>
          </w:p>
        </w:tc>
        <w:tc>
          <w:tcPr/>
          <w:p>
            <w:pPr>
              <w:pStyle w:val="Compact"/>
              <w:jc w:val="left"/>
            </w:pPr>
            <w:r>
              <w:t xml:space="preserve">0.72</w:t>
            </w:r>
          </w:p>
        </w:tc>
        <w:tc>
          <w:tcPr/>
          <w:p>
            <w:pPr>
              <w:pStyle w:val="Compact"/>
              <w:jc w:val="left"/>
            </w:pPr>
            <w:r>
              <w:t xml:space="preserve">273</w:t>
            </w:r>
          </w:p>
        </w:tc>
        <w:tc>
          <w:tcPr/>
          <w:p>
            <w:pPr>
              <w:pStyle w:val="Compact"/>
              <w:jc w:val="left"/>
            </w:pPr>
            <w:r>
              <w:t xml:space="preserve">100.00</w:t>
            </w:r>
          </w:p>
        </w:tc>
        <w:tc>
          <w:tcPr/>
          <w:p>
            <w:pPr>
              <w:pStyle w:val="Compact"/>
              <w:jc w:val="left"/>
            </w:pPr>
            <w:r>
              <w:t xml:space="preserve">0.00</w:t>
            </w:r>
          </w:p>
        </w:tc>
        <w:tc>
          <w:tcPr/>
          <w:p>
            <w:pPr>
              <w:pStyle w:val="Compact"/>
              <w:jc w:val="left"/>
            </w:pPr>
            <w:r>
              <w:t xml:space="preserve">273</w:t>
            </w:r>
          </w:p>
        </w:tc>
      </w:tr>
      <w:tr>
        <w:tc>
          <w:tcPr/>
          <w:p>
            <w:pPr>
              <w:pStyle w:val="Compact"/>
              <w:jc w:val="left"/>
            </w:pPr>
            <w:r>
              <w:t xml:space="preserve">8400</w:t>
            </w:r>
          </w:p>
        </w:tc>
        <w:tc>
          <w:tcPr/>
          <w:p>
            <w:pPr>
              <w:pStyle w:val="Compact"/>
              <w:jc w:val="left"/>
            </w:pPr>
            <w:r>
              <w:t xml:space="preserve">97.86</w:t>
            </w:r>
          </w:p>
        </w:tc>
        <w:tc>
          <w:tcPr/>
          <w:p>
            <w:pPr>
              <w:pStyle w:val="Compact"/>
              <w:jc w:val="left"/>
            </w:pPr>
            <w:r>
              <w:t xml:space="preserve">1.20</w:t>
            </w:r>
          </w:p>
        </w:tc>
        <w:tc>
          <w:tcPr/>
          <w:p>
            <w:pPr>
              <w:pStyle w:val="Compact"/>
              <w:jc w:val="left"/>
            </w:pPr>
            <w:r>
              <w:t xml:space="preserve">525</w:t>
            </w:r>
          </w:p>
        </w:tc>
        <w:tc>
          <w:tcPr/>
          <w:p>
            <w:pPr>
              <w:pStyle w:val="Compact"/>
              <w:jc w:val="left"/>
            </w:pPr>
            <w:r>
              <w:t xml:space="preserve">98.01</w:t>
            </w:r>
          </w:p>
        </w:tc>
        <w:tc>
          <w:tcPr/>
          <w:p>
            <w:pPr>
              <w:pStyle w:val="Compact"/>
              <w:jc w:val="left"/>
            </w:pPr>
            <w:r>
              <w:t xml:space="preserve">0.76</w:t>
            </w:r>
          </w:p>
        </w:tc>
        <w:tc>
          <w:tcPr/>
          <w:p>
            <w:pPr>
              <w:pStyle w:val="Compact"/>
              <w:jc w:val="left"/>
            </w:pPr>
            <w:r>
              <w:t xml:space="preserve">525</w:t>
            </w:r>
          </w:p>
        </w:tc>
      </w:tr>
    </w:tbl>
    <w:p>
      <w:pPr>
        <w:pStyle w:val="BodyText"/>
      </w:pPr>
      <w:r>
        <w:t xml:space="preserve"> </w:t>
      </w:r>
    </w:p>
    <w:p>
      <w:pPr>
        <w:pStyle w:val="TableCaption"/>
      </w:pPr>
      <w:r>
        <w:t xml:space="preserve">Area-weighted User's and Producer's Accuracies for status LC/LU 2012 on code level 4</w:t>
      </w:r>
    </w:p>
    <w:tbl>
      <w:tblPr>
        <w:tblStyle w:val="Table"/>
        <w:tblW w:type="pct" w:w="4884"/>
        <w:tblLayout w:type="fixed"/>
        <w:tblLook w:firstRow="1" w:lastRow="0" w:firstColumn="0" w:lastColumn="0" w:noHBand="0" w:noVBand="0" w:val="0020"/>
        <w:tblCaption w:val="Area-weighted User's and Producer's Accuracies for status LC/LU 2012 on code level 4"/>
      </w:tblPr>
      <w:tblGrid>
        <w:gridCol w:w="770"/>
        <w:gridCol w:w="806"/>
        <w:gridCol w:w="1173"/>
        <w:gridCol w:w="1393"/>
        <w:gridCol w:w="1026"/>
        <w:gridCol w:w="1246"/>
        <w:gridCol w:w="1320"/>
      </w:tblGrid>
      <w:tr>
        <w:trPr>
          <w:tblHeader w:val="on"/>
        </w:trPr>
        <w:tc>
          <w:tcPr/>
          <w:p>
            <w:pPr>
              <w:pStyle w:val="Compact"/>
              <w:jc w:val="left"/>
            </w:pPr>
            <w:r>
              <w:rPr>
                <w:b/>
                <w:bCs/>
              </w:rPr>
              <w:t xml:space="preserve">Code Level 4</w:t>
            </w:r>
          </w:p>
        </w:tc>
        <w:tc>
          <w:tcPr>
            <w:gridSpan w:val="2"/>
          </w:tcPr>
          <w:p>
            <w:pPr>
              <w:pStyle w:val="Compact"/>
              <w:jc w:val="left"/>
            </w:pPr>
            <w:r>
              <w:rPr>
                <w:b/>
                <w:bCs/>
              </w:rPr>
              <w:t xml:space="preserve">User’s Accuracy</w:t>
            </w:r>
          </w:p>
        </w:tc>
        <w:tc>
          <w:tcPr/>
          <w:p>
            <w:pPr>
              <w:pStyle w:val="Compact"/>
              <w:jc w:val="left"/>
            </w:pPr>
            <w:r>
              <w:rPr>
                <w:b/>
                <w:bCs/>
              </w:rPr>
              <w:t xml:space="preserve">No. of assessed sample points</w:t>
            </w:r>
          </w:p>
        </w:tc>
        <w:tc>
          <w:tcPr>
            <w:gridSpan w:val="2"/>
          </w:tcPr>
          <w:p>
            <w:pPr>
              <w:pStyle w:val="Compact"/>
              <w:jc w:val="left"/>
            </w:pPr>
            <w:r>
              <w:rPr>
                <w:b/>
                <w:bCs/>
              </w:rPr>
              <w:t xml:space="preserve">Producer’s Accuracy</w:t>
            </w:r>
          </w:p>
        </w:tc>
        <w:tc>
          <w:tcPr/>
          <w:p>
            <w:pPr>
              <w:pStyle w:val="Compact"/>
              <w:jc w:val="left"/>
            </w:pPr>
            <w:r>
              <w:rPr>
                <w:b/>
                <w:bCs/>
              </w:rPr>
              <w:t xml:space="preserve">No. of assessed sample points</w:t>
            </w:r>
          </w:p>
        </w:tc>
      </w:tr>
      <w:tr>
        <w:tc>
          <w:tcPr/>
          <w:p>
            <w:pPr>
              <w:pStyle w:val="Compact"/>
            </w:pPr>
          </w:p>
        </w:tc>
        <w:tc>
          <w:tcPr/>
          <w:p>
            <w:pPr>
              <w:pStyle w:val="Compact"/>
              <w:jc w:val="left"/>
            </w:pPr>
            <w:r>
              <w:rPr>
                <w:b/>
                <w:bCs/>
              </w:rPr>
              <w:t xml:space="preserve">Accuracy [%]</w:t>
            </w:r>
          </w:p>
        </w:tc>
        <w:tc>
          <w:tcPr/>
          <w:p>
            <w:pPr>
              <w:pStyle w:val="Compact"/>
              <w:jc w:val="left"/>
            </w:pPr>
            <w:r>
              <w:rPr>
                <w:b/>
                <w:bCs/>
              </w:rPr>
              <w:t xml:space="preserve">Confidence Interval [%]</w:t>
            </w:r>
          </w:p>
        </w:tc>
        <w:tc>
          <w:tcPr/>
          <w:p>
            <w:pPr>
              <w:pStyle w:val="Compact"/>
            </w:pPr>
          </w:p>
        </w:tc>
        <w:tc>
          <w:tcPr/>
          <w:p>
            <w:pPr>
              <w:pStyle w:val="Compact"/>
              <w:jc w:val="left"/>
            </w:pPr>
            <w:r>
              <w:rPr>
                <w:b/>
                <w:bCs/>
              </w:rPr>
              <w:t xml:space="preserve">Accuracy [%]</w:t>
            </w:r>
          </w:p>
        </w:tc>
        <w:tc>
          <w:tcPr/>
          <w:p>
            <w:pPr>
              <w:pStyle w:val="Compact"/>
              <w:jc w:val="left"/>
            </w:pPr>
            <w:r>
              <w:rPr>
                <w:b/>
                <w:bCs/>
              </w:rPr>
              <w:t xml:space="preserve">Confidence Interval [%]</w:t>
            </w:r>
          </w:p>
        </w:tc>
        <w:tc>
          <w:tcPr/>
          <w:p>
            <w:pPr>
              <w:pStyle w:val="Compact"/>
            </w:pPr>
          </w:p>
        </w:tc>
      </w:tr>
      <w:tr>
        <w:tc>
          <w:tcPr/>
          <w:p>
            <w:pPr>
              <w:pStyle w:val="Compact"/>
              <w:jc w:val="left"/>
            </w:pPr>
            <w:r>
              <w:t xml:space="preserve">1110</w:t>
            </w:r>
          </w:p>
        </w:tc>
        <w:tc>
          <w:tcPr/>
          <w:p>
            <w:pPr>
              <w:pStyle w:val="Compact"/>
              <w:jc w:val="left"/>
            </w:pPr>
            <w:r>
              <w:t xml:space="preserve">98.26</w:t>
            </w:r>
          </w:p>
        </w:tc>
        <w:tc>
          <w:tcPr/>
          <w:p>
            <w:pPr>
              <w:pStyle w:val="Compact"/>
              <w:jc w:val="left"/>
            </w:pPr>
            <w:r>
              <w:t xml:space="preserve">1.19</w:t>
            </w:r>
          </w:p>
        </w:tc>
        <w:tc>
          <w:tcPr/>
          <w:p>
            <w:pPr>
              <w:pStyle w:val="Compact"/>
              <w:jc w:val="left"/>
            </w:pPr>
            <w:r>
              <w:t xml:space="preserve">461</w:t>
            </w:r>
          </w:p>
        </w:tc>
        <w:tc>
          <w:tcPr/>
          <w:p>
            <w:pPr>
              <w:pStyle w:val="Compact"/>
              <w:jc w:val="left"/>
            </w:pPr>
            <w:r>
              <w:t xml:space="preserve">97.09</w:t>
            </w:r>
          </w:p>
        </w:tc>
        <w:tc>
          <w:tcPr/>
          <w:p>
            <w:pPr>
              <w:pStyle w:val="Compact"/>
              <w:jc w:val="left"/>
            </w:pPr>
            <w:r>
              <w:t xml:space="preserve">1.34</w:t>
            </w:r>
          </w:p>
        </w:tc>
        <w:tc>
          <w:tcPr/>
          <w:p>
            <w:pPr>
              <w:pStyle w:val="Compact"/>
              <w:jc w:val="left"/>
            </w:pPr>
            <w:r>
              <w:t xml:space="preserve">461</w:t>
            </w:r>
          </w:p>
        </w:tc>
      </w:tr>
      <w:tr>
        <w:tc>
          <w:tcPr/>
          <w:p>
            <w:pPr>
              <w:pStyle w:val="Compact"/>
              <w:jc w:val="left"/>
            </w:pPr>
            <w:r>
              <w:t xml:space="preserve">1120</w:t>
            </w:r>
          </w:p>
        </w:tc>
        <w:tc>
          <w:tcPr/>
          <w:p>
            <w:pPr>
              <w:pStyle w:val="Compact"/>
              <w:jc w:val="left"/>
            </w:pPr>
            <w:r>
              <w:t xml:space="preserve">97.66</w:t>
            </w:r>
          </w:p>
        </w:tc>
        <w:tc>
          <w:tcPr/>
          <w:p>
            <w:pPr>
              <w:pStyle w:val="Compact"/>
              <w:jc w:val="left"/>
            </w:pPr>
            <w:r>
              <w:t xml:space="preserve">1.37</w:t>
            </w:r>
          </w:p>
        </w:tc>
        <w:tc>
          <w:tcPr/>
          <w:p>
            <w:pPr>
              <w:pStyle w:val="Compact"/>
              <w:jc w:val="left"/>
            </w:pPr>
            <w:r>
              <w:t xml:space="preserve">470</w:t>
            </w:r>
          </w:p>
        </w:tc>
        <w:tc>
          <w:tcPr/>
          <w:p>
            <w:pPr>
              <w:pStyle w:val="Compact"/>
              <w:jc w:val="left"/>
            </w:pPr>
            <w:r>
              <w:t xml:space="preserve">96.79</w:t>
            </w:r>
          </w:p>
        </w:tc>
        <w:tc>
          <w:tcPr/>
          <w:p>
            <w:pPr>
              <w:pStyle w:val="Compact"/>
              <w:jc w:val="left"/>
            </w:pPr>
            <w:r>
              <w:t xml:space="preserve">1.29</w:t>
            </w:r>
          </w:p>
        </w:tc>
        <w:tc>
          <w:tcPr/>
          <w:p>
            <w:pPr>
              <w:pStyle w:val="Compact"/>
              <w:jc w:val="left"/>
            </w:pPr>
            <w:r>
              <w:t xml:space="preserve">470</w:t>
            </w:r>
          </w:p>
        </w:tc>
      </w:tr>
      <w:tr>
        <w:tc>
          <w:tcPr/>
          <w:p>
            <w:pPr>
              <w:pStyle w:val="Compact"/>
              <w:jc w:val="left"/>
            </w:pPr>
            <w:r>
              <w:t xml:space="preserve">1210</w:t>
            </w:r>
          </w:p>
        </w:tc>
        <w:tc>
          <w:tcPr/>
          <w:p>
            <w:pPr>
              <w:pStyle w:val="Compact"/>
              <w:jc w:val="left"/>
            </w:pPr>
            <w:r>
              <w:t xml:space="preserve">99.42</w:t>
            </w:r>
          </w:p>
        </w:tc>
        <w:tc>
          <w:tcPr/>
          <w:p>
            <w:pPr>
              <w:pStyle w:val="Compact"/>
              <w:jc w:val="left"/>
            </w:pPr>
            <w:r>
              <w:t xml:space="preserve">0.66</w:t>
            </w:r>
          </w:p>
        </w:tc>
        <w:tc>
          <w:tcPr/>
          <w:p>
            <w:pPr>
              <w:pStyle w:val="Compact"/>
              <w:jc w:val="left"/>
            </w:pPr>
            <w:r>
              <w:t xml:space="preserve">514</w:t>
            </w:r>
          </w:p>
        </w:tc>
        <w:tc>
          <w:tcPr/>
          <w:p>
            <w:pPr>
              <w:pStyle w:val="Compact"/>
              <w:jc w:val="left"/>
            </w:pPr>
            <w:r>
              <w:t xml:space="preserve">98.85</w:t>
            </w:r>
          </w:p>
        </w:tc>
        <w:tc>
          <w:tcPr/>
          <w:p>
            <w:pPr>
              <w:pStyle w:val="Compact"/>
              <w:jc w:val="left"/>
            </w:pPr>
            <w:r>
              <w:t xml:space="preserve">0.67</w:t>
            </w:r>
          </w:p>
        </w:tc>
        <w:tc>
          <w:tcPr/>
          <w:p>
            <w:pPr>
              <w:pStyle w:val="Compact"/>
              <w:jc w:val="left"/>
            </w:pPr>
            <w:r>
              <w:t xml:space="preserve">514</w:t>
            </w:r>
          </w:p>
        </w:tc>
      </w:tr>
      <w:tr>
        <w:tc>
          <w:tcPr/>
          <w:p>
            <w:pPr>
              <w:pStyle w:val="Compact"/>
              <w:jc w:val="left"/>
            </w:pPr>
            <w:r>
              <w:t xml:space="preserve">1220</w:t>
            </w:r>
          </w:p>
        </w:tc>
        <w:tc>
          <w:tcPr/>
          <w:p>
            <w:pPr>
              <w:pStyle w:val="Compact"/>
              <w:jc w:val="left"/>
            </w:pPr>
            <w:r>
              <w:t xml:space="preserve">98.30</w:t>
            </w:r>
          </w:p>
        </w:tc>
        <w:tc>
          <w:tcPr/>
          <w:p>
            <w:pPr>
              <w:pStyle w:val="Compact"/>
              <w:jc w:val="left"/>
            </w:pPr>
            <w:r>
              <w:t xml:space="preserve">1.17</w:t>
            </w:r>
          </w:p>
        </w:tc>
        <w:tc>
          <w:tcPr/>
          <w:p>
            <w:pPr>
              <w:pStyle w:val="Compact"/>
              <w:jc w:val="left"/>
            </w:pPr>
            <w:r>
              <w:t xml:space="preserve">470</w:t>
            </w:r>
          </w:p>
        </w:tc>
        <w:tc>
          <w:tcPr/>
          <w:p>
            <w:pPr>
              <w:pStyle w:val="Compact"/>
              <w:jc w:val="left"/>
            </w:pPr>
            <w:r>
              <w:t xml:space="preserve">99.11</w:t>
            </w:r>
          </w:p>
        </w:tc>
        <w:tc>
          <w:tcPr/>
          <w:p>
            <w:pPr>
              <w:pStyle w:val="Compact"/>
              <w:jc w:val="left"/>
            </w:pPr>
            <w:r>
              <w:t xml:space="preserve">1.02</w:t>
            </w:r>
          </w:p>
        </w:tc>
        <w:tc>
          <w:tcPr/>
          <w:p>
            <w:pPr>
              <w:pStyle w:val="Compact"/>
              <w:jc w:val="left"/>
            </w:pPr>
            <w:r>
              <w:t xml:space="preserve">470</w:t>
            </w:r>
          </w:p>
        </w:tc>
      </w:tr>
      <w:tr>
        <w:tc>
          <w:tcPr/>
          <w:p>
            <w:pPr>
              <w:pStyle w:val="Compact"/>
              <w:jc w:val="left"/>
            </w:pPr>
            <w:r>
              <w:t xml:space="preserve">1230</w:t>
            </w:r>
          </w:p>
        </w:tc>
        <w:tc>
          <w:tcPr/>
          <w:p>
            <w:pPr>
              <w:pStyle w:val="Compact"/>
              <w:jc w:val="left"/>
            </w:pPr>
            <w:r>
              <w:t xml:space="preserve">98.65</w:t>
            </w:r>
          </w:p>
        </w:tc>
        <w:tc>
          <w:tcPr/>
          <w:p>
            <w:pPr>
              <w:pStyle w:val="Compact"/>
              <w:jc w:val="left"/>
            </w:pPr>
            <w:r>
              <w:t xml:space="preserve">1.31</w:t>
            </w:r>
          </w:p>
        </w:tc>
        <w:tc>
          <w:tcPr/>
          <w:p>
            <w:pPr>
              <w:pStyle w:val="Compact"/>
              <w:jc w:val="left"/>
            </w:pPr>
            <w:r>
              <w:t xml:space="preserve">297</w:t>
            </w:r>
          </w:p>
        </w:tc>
        <w:tc>
          <w:tcPr/>
          <w:p>
            <w:pPr>
              <w:pStyle w:val="Compact"/>
              <w:jc w:val="left"/>
            </w:pPr>
            <w:r>
              <w:t xml:space="preserve">98.14</w:t>
            </w:r>
          </w:p>
        </w:tc>
        <w:tc>
          <w:tcPr/>
          <w:p>
            <w:pPr>
              <w:pStyle w:val="Compact"/>
              <w:jc w:val="left"/>
            </w:pPr>
            <w:r>
              <w:t xml:space="preserve">2.53</w:t>
            </w:r>
          </w:p>
        </w:tc>
        <w:tc>
          <w:tcPr/>
          <w:p>
            <w:pPr>
              <w:pStyle w:val="Compact"/>
              <w:jc w:val="left"/>
            </w:pPr>
            <w:r>
              <w:t xml:space="preserve">297</w:t>
            </w:r>
          </w:p>
        </w:tc>
      </w:tr>
      <w:tr>
        <w:tc>
          <w:tcPr/>
          <w:p>
            <w:pPr>
              <w:pStyle w:val="Compact"/>
              <w:jc w:val="left"/>
            </w:pPr>
            <w:r>
              <w:t xml:space="preserve">1240</w:t>
            </w:r>
          </w:p>
        </w:tc>
        <w:tc>
          <w:tcPr/>
          <w:p>
            <w:pPr>
              <w:pStyle w:val="Compact"/>
              <w:jc w:val="left"/>
            </w:pPr>
            <w:r>
              <w:t xml:space="preserve">99.50</w:t>
            </w:r>
          </w:p>
        </w:tc>
        <w:tc>
          <w:tcPr/>
          <w:p>
            <w:pPr>
              <w:pStyle w:val="Compact"/>
              <w:jc w:val="left"/>
            </w:pPr>
            <w:r>
              <w:t xml:space="preserve">0.69</w:t>
            </w:r>
          </w:p>
        </w:tc>
        <w:tc>
          <w:tcPr/>
          <w:p>
            <w:pPr>
              <w:pStyle w:val="Compact"/>
              <w:jc w:val="left"/>
            </w:pPr>
            <w:r>
              <w:t xml:space="preserve">399</w:t>
            </w:r>
          </w:p>
        </w:tc>
        <w:tc>
          <w:tcPr/>
          <w:p>
            <w:pPr>
              <w:pStyle w:val="Compact"/>
              <w:jc w:val="left"/>
            </w:pPr>
            <w:r>
              <w:t xml:space="preserve">99.24</w:t>
            </w:r>
          </w:p>
        </w:tc>
        <w:tc>
          <w:tcPr/>
          <w:p>
            <w:pPr>
              <w:pStyle w:val="Compact"/>
              <w:jc w:val="left"/>
            </w:pPr>
            <w:r>
              <w:t xml:space="preserve">1.05</w:t>
            </w:r>
          </w:p>
        </w:tc>
        <w:tc>
          <w:tcPr/>
          <w:p>
            <w:pPr>
              <w:pStyle w:val="Compact"/>
              <w:jc w:val="left"/>
            </w:pPr>
            <w:r>
              <w:t xml:space="preserve">399</w:t>
            </w:r>
          </w:p>
        </w:tc>
      </w:tr>
      <w:tr>
        <w:tc>
          <w:tcPr/>
          <w:p>
            <w:pPr>
              <w:pStyle w:val="Compact"/>
              <w:jc w:val="left"/>
            </w:pPr>
            <w:r>
              <w:t xml:space="preserve">1310</w:t>
            </w:r>
          </w:p>
        </w:tc>
        <w:tc>
          <w:tcPr/>
          <w:p>
            <w:pPr>
              <w:pStyle w:val="Compact"/>
              <w:jc w:val="left"/>
            </w:pPr>
            <w:r>
              <w:t xml:space="preserve">96.72</w:t>
            </w:r>
          </w:p>
        </w:tc>
        <w:tc>
          <w:tcPr/>
          <w:p>
            <w:pPr>
              <w:pStyle w:val="Compact"/>
              <w:jc w:val="left"/>
            </w:pPr>
            <w:r>
              <w:t xml:space="preserve">0.90</w:t>
            </w:r>
          </w:p>
        </w:tc>
        <w:tc>
          <w:tcPr/>
          <w:p>
            <w:pPr>
              <w:pStyle w:val="Compact"/>
              <w:jc w:val="left"/>
            </w:pPr>
            <w:r>
              <w:t xml:space="preserve">1523</w:t>
            </w:r>
          </w:p>
        </w:tc>
        <w:tc>
          <w:tcPr/>
          <w:p>
            <w:pPr>
              <w:pStyle w:val="Compact"/>
              <w:jc w:val="left"/>
            </w:pPr>
            <w:r>
              <w:t xml:space="preserve">95.59</w:t>
            </w:r>
          </w:p>
        </w:tc>
        <w:tc>
          <w:tcPr/>
          <w:p>
            <w:pPr>
              <w:pStyle w:val="Compact"/>
              <w:jc w:val="left"/>
            </w:pPr>
            <w:r>
              <w:t xml:space="preserve">1.42</w:t>
            </w:r>
          </w:p>
        </w:tc>
        <w:tc>
          <w:tcPr/>
          <w:p>
            <w:pPr>
              <w:pStyle w:val="Compact"/>
              <w:jc w:val="left"/>
            </w:pPr>
            <w:r>
              <w:t xml:space="preserve">1523</w:t>
            </w:r>
          </w:p>
        </w:tc>
      </w:tr>
      <w:tr>
        <w:tc>
          <w:tcPr/>
          <w:p>
            <w:pPr>
              <w:pStyle w:val="Compact"/>
              <w:jc w:val="left"/>
            </w:pPr>
            <w:r>
              <w:t xml:space="preserve">1320</w:t>
            </w:r>
          </w:p>
        </w:tc>
        <w:tc>
          <w:tcPr/>
          <w:p>
            <w:pPr>
              <w:pStyle w:val="Compact"/>
              <w:jc w:val="left"/>
            </w:pPr>
            <w:r>
              <w:t xml:space="preserve">85.40</w:t>
            </w:r>
          </w:p>
        </w:tc>
        <w:tc>
          <w:tcPr/>
          <w:p>
            <w:pPr>
              <w:pStyle w:val="Compact"/>
              <w:jc w:val="left"/>
            </w:pPr>
            <w:r>
              <w:t xml:space="preserve">3.64</w:t>
            </w:r>
          </w:p>
        </w:tc>
        <w:tc>
          <w:tcPr/>
          <w:p>
            <w:pPr>
              <w:pStyle w:val="Compact"/>
              <w:jc w:val="left"/>
            </w:pPr>
            <w:r>
              <w:t xml:space="preserve">363</w:t>
            </w:r>
          </w:p>
        </w:tc>
        <w:tc>
          <w:tcPr/>
          <w:p>
            <w:pPr>
              <w:pStyle w:val="Compact"/>
              <w:jc w:val="left"/>
            </w:pPr>
            <w:r>
              <w:t xml:space="preserve">96.08</w:t>
            </w:r>
          </w:p>
        </w:tc>
        <w:tc>
          <w:tcPr/>
          <w:p>
            <w:pPr>
              <w:pStyle w:val="Compact"/>
              <w:jc w:val="left"/>
            </w:pPr>
            <w:r>
              <w:t xml:space="preserve">3.31</w:t>
            </w:r>
          </w:p>
        </w:tc>
        <w:tc>
          <w:tcPr/>
          <w:p>
            <w:pPr>
              <w:pStyle w:val="Compact"/>
              <w:jc w:val="left"/>
            </w:pPr>
            <w:r>
              <w:t xml:space="preserve">363</w:t>
            </w:r>
          </w:p>
        </w:tc>
      </w:tr>
      <w:tr>
        <w:tc>
          <w:tcPr/>
          <w:p>
            <w:pPr>
              <w:pStyle w:val="Compact"/>
              <w:jc w:val="left"/>
            </w:pPr>
            <w:r>
              <w:t xml:space="preserve">1400</w:t>
            </w:r>
          </w:p>
        </w:tc>
        <w:tc>
          <w:tcPr/>
          <w:p>
            <w:pPr>
              <w:pStyle w:val="Compact"/>
              <w:jc w:val="left"/>
            </w:pPr>
            <w:r>
              <w:t xml:space="preserve">94.21</w:t>
            </w:r>
          </w:p>
        </w:tc>
        <w:tc>
          <w:tcPr/>
          <w:p>
            <w:pPr>
              <w:pStyle w:val="Compact"/>
              <w:jc w:val="left"/>
            </w:pPr>
            <w:r>
              <w:t xml:space="preserve">2.01</w:t>
            </w:r>
          </w:p>
        </w:tc>
        <w:tc>
          <w:tcPr/>
          <w:p>
            <w:pPr>
              <w:pStyle w:val="Compact"/>
              <w:jc w:val="left"/>
            </w:pPr>
            <w:r>
              <w:t xml:space="preserve">518</w:t>
            </w:r>
          </w:p>
        </w:tc>
        <w:tc>
          <w:tcPr/>
          <w:p>
            <w:pPr>
              <w:pStyle w:val="Compact"/>
              <w:jc w:val="left"/>
            </w:pPr>
            <w:r>
              <w:t xml:space="preserve">98.66</w:t>
            </w:r>
          </w:p>
        </w:tc>
        <w:tc>
          <w:tcPr/>
          <w:p>
            <w:pPr>
              <w:pStyle w:val="Compact"/>
              <w:jc w:val="left"/>
            </w:pPr>
            <w:r>
              <w:t xml:space="preserve">1.05</w:t>
            </w:r>
          </w:p>
        </w:tc>
        <w:tc>
          <w:tcPr/>
          <w:p>
            <w:pPr>
              <w:pStyle w:val="Compact"/>
              <w:jc w:val="left"/>
            </w:pPr>
            <w:r>
              <w:t xml:space="preserve">518</w:t>
            </w:r>
          </w:p>
        </w:tc>
      </w:tr>
      <w:tr>
        <w:tc>
          <w:tcPr/>
          <w:p>
            <w:pPr>
              <w:pStyle w:val="Compact"/>
              <w:jc w:val="left"/>
            </w:pPr>
            <w:r>
              <w:t xml:space="preserve">2110</w:t>
            </w:r>
          </w:p>
        </w:tc>
        <w:tc>
          <w:tcPr/>
          <w:p>
            <w:pPr>
              <w:pStyle w:val="Compact"/>
              <w:jc w:val="left"/>
            </w:pPr>
            <w:r>
              <w:t xml:space="preserve">97.91</w:t>
            </w:r>
          </w:p>
        </w:tc>
        <w:tc>
          <w:tcPr/>
          <w:p>
            <w:pPr>
              <w:pStyle w:val="Compact"/>
              <w:jc w:val="left"/>
            </w:pPr>
            <w:r>
              <w:t xml:space="preserve">0.66</w:t>
            </w:r>
          </w:p>
        </w:tc>
        <w:tc>
          <w:tcPr/>
          <w:p>
            <w:pPr>
              <w:pStyle w:val="Compact"/>
              <w:jc w:val="left"/>
            </w:pPr>
            <w:r>
              <w:t xml:space="preserve">1816</w:t>
            </w:r>
          </w:p>
        </w:tc>
        <w:tc>
          <w:tcPr/>
          <w:p>
            <w:pPr>
              <w:pStyle w:val="Compact"/>
              <w:jc w:val="left"/>
            </w:pPr>
            <w:r>
              <w:t xml:space="preserve">91.29</w:t>
            </w:r>
          </w:p>
        </w:tc>
        <w:tc>
          <w:tcPr/>
          <w:p>
            <w:pPr>
              <w:pStyle w:val="Compact"/>
              <w:jc w:val="left"/>
            </w:pPr>
            <w:r>
              <w:t xml:space="preserve">1.27</w:t>
            </w:r>
          </w:p>
        </w:tc>
        <w:tc>
          <w:tcPr/>
          <w:p>
            <w:pPr>
              <w:pStyle w:val="Compact"/>
              <w:jc w:val="left"/>
            </w:pPr>
            <w:r>
              <w:t xml:space="preserve">1816</w:t>
            </w:r>
          </w:p>
        </w:tc>
      </w:tr>
      <w:tr>
        <w:tc>
          <w:tcPr/>
          <w:p>
            <w:pPr>
              <w:pStyle w:val="Compact"/>
              <w:jc w:val="left"/>
            </w:pPr>
            <w:r>
              <w:t xml:space="preserve">2120</w:t>
            </w:r>
          </w:p>
        </w:tc>
        <w:tc>
          <w:tcPr/>
          <w:p>
            <w:pPr>
              <w:pStyle w:val="Compact"/>
              <w:jc w:val="left"/>
            </w:pPr>
            <w:r>
              <w:t xml:space="preserve">92.51</w:t>
            </w:r>
          </w:p>
        </w:tc>
        <w:tc>
          <w:tcPr/>
          <w:p>
            <w:pPr>
              <w:pStyle w:val="Compact"/>
              <w:jc w:val="left"/>
            </w:pPr>
            <w:r>
              <w:t xml:space="preserve">2.83</w:t>
            </w:r>
          </w:p>
        </w:tc>
        <w:tc>
          <w:tcPr/>
          <w:p>
            <w:pPr>
              <w:pStyle w:val="Compact"/>
              <w:jc w:val="left"/>
            </w:pPr>
            <w:r>
              <w:t xml:space="preserve">334</w:t>
            </w:r>
          </w:p>
        </w:tc>
        <w:tc>
          <w:tcPr/>
          <w:p>
            <w:pPr>
              <w:pStyle w:val="Compact"/>
              <w:jc w:val="left"/>
            </w:pPr>
            <w:r>
              <w:t xml:space="preserve">99.49</w:t>
            </w:r>
          </w:p>
        </w:tc>
        <w:tc>
          <w:tcPr/>
          <w:p>
            <w:pPr>
              <w:pStyle w:val="Compact"/>
              <w:jc w:val="left"/>
            </w:pPr>
            <w:r>
              <w:t xml:space="preserve">1.00</w:t>
            </w:r>
          </w:p>
        </w:tc>
        <w:tc>
          <w:tcPr/>
          <w:p>
            <w:pPr>
              <w:pStyle w:val="Compact"/>
              <w:jc w:val="left"/>
            </w:pPr>
            <w:r>
              <w:t xml:space="preserve">334</w:t>
            </w:r>
          </w:p>
        </w:tc>
      </w:tr>
      <w:tr>
        <w:tc>
          <w:tcPr/>
          <w:p>
            <w:pPr>
              <w:pStyle w:val="Compact"/>
              <w:jc w:val="left"/>
            </w:pPr>
            <w:r>
              <w:t xml:space="preserve">2210</w:t>
            </w:r>
          </w:p>
        </w:tc>
        <w:tc>
          <w:tcPr/>
          <w:p>
            <w:pPr>
              <w:pStyle w:val="Compact"/>
              <w:jc w:val="left"/>
            </w:pPr>
            <w:r>
              <w:t xml:space="preserve">90.16</w:t>
            </w:r>
          </w:p>
        </w:tc>
        <w:tc>
          <w:tcPr/>
          <w:p>
            <w:pPr>
              <w:pStyle w:val="Compact"/>
              <w:jc w:val="left"/>
            </w:pPr>
            <w:r>
              <w:t xml:space="preserve">2.37</w:t>
            </w:r>
          </w:p>
        </w:tc>
        <w:tc>
          <w:tcPr/>
          <w:p>
            <w:pPr>
              <w:pStyle w:val="Compact"/>
              <w:jc w:val="left"/>
            </w:pPr>
            <w:r>
              <w:t xml:space="preserve">610</w:t>
            </w:r>
          </w:p>
        </w:tc>
        <w:tc>
          <w:tcPr/>
          <w:p>
            <w:pPr>
              <w:pStyle w:val="Compact"/>
              <w:jc w:val="left"/>
            </w:pPr>
            <w:r>
              <w:t xml:space="preserve">97.97</w:t>
            </w:r>
          </w:p>
        </w:tc>
        <w:tc>
          <w:tcPr/>
          <w:p>
            <w:pPr>
              <w:pStyle w:val="Compact"/>
              <w:jc w:val="left"/>
            </w:pPr>
            <w:r>
              <w:t xml:space="preserve">0.92</w:t>
            </w:r>
          </w:p>
        </w:tc>
        <w:tc>
          <w:tcPr/>
          <w:p>
            <w:pPr>
              <w:pStyle w:val="Compact"/>
              <w:jc w:val="left"/>
            </w:pPr>
            <w:r>
              <w:t xml:space="preserve">610</w:t>
            </w:r>
          </w:p>
        </w:tc>
      </w:tr>
      <w:tr>
        <w:tc>
          <w:tcPr/>
          <w:p>
            <w:pPr>
              <w:pStyle w:val="Compact"/>
              <w:jc w:val="left"/>
            </w:pPr>
            <w:r>
              <w:t xml:space="preserve">2220</w:t>
            </w:r>
          </w:p>
        </w:tc>
        <w:tc>
          <w:tcPr/>
          <w:p>
            <w:pPr>
              <w:pStyle w:val="Compact"/>
              <w:jc w:val="left"/>
            </w:pPr>
            <w:r>
              <w:t xml:space="preserve">98.50</w:t>
            </w:r>
          </w:p>
        </w:tc>
        <w:tc>
          <w:tcPr/>
          <w:p>
            <w:pPr>
              <w:pStyle w:val="Compact"/>
              <w:jc w:val="left"/>
            </w:pPr>
            <w:r>
              <w:t xml:space="preserve">1.20</w:t>
            </w:r>
          </w:p>
        </w:tc>
        <w:tc>
          <w:tcPr/>
          <w:p>
            <w:pPr>
              <w:pStyle w:val="Compact"/>
              <w:jc w:val="left"/>
            </w:pPr>
            <w:r>
              <w:t xml:space="preserve">399</w:t>
            </w:r>
          </w:p>
        </w:tc>
        <w:tc>
          <w:tcPr/>
          <w:p>
            <w:pPr>
              <w:pStyle w:val="Compact"/>
              <w:jc w:val="left"/>
            </w:pPr>
            <w:r>
              <w:t xml:space="preserve">98.86</w:t>
            </w:r>
          </w:p>
        </w:tc>
        <w:tc>
          <w:tcPr/>
          <w:p>
            <w:pPr>
              <w:pStyle w:val="Compact"/>
              <w:jc w:val="left"/>
            </w:pPr>
            <w:r>
              <w:t xml:space="preserve">0.93</w:t>
            </w:r>
          </w:p>
        </w:tc>
        <w:tc>
          <w:tcPr/>
          <w:p>
            <w:pPr>
              <w:pStyle w:val="Compact"/>
              <w:jc w:val="left"/>
            </w:pPr>
            <w:r>
              <w:t xml:space="preserve">399</w:t>
            </w:r>
          </w:p>
        </w:tc>
      </w:tr>
      <w:tr>
        <w:tc>
          <w:tcPr/>
          <w:p>
            <w:pPr>
              <w:pStyle w:val="Compact"/>
              <w:jc w:val="left"/>
            </w:pPr>
            <w:r>
              <w:t xml:space="preserve">2310</w:t>
            </w:r>
          </w:p>
        </w:tc>
        <w:tc>
          <w:tcPr/>
          <w:p>
            <w:pPr>
              <w:pStyle w:val="Compact"/>
              <w:jc w:val="left"/>
            </w:pPr>
            <w:r>
              <w:t xml:space="preserve">88.43</w:t>
            </w:r>
          </w:p>
        </w:tc>
        <w:tc>
          <w:tcPr/>
          <w:p>
            <w:pPr>
              <w:pStyle w:val="Compact"/>
              <w:jc w:val="left"/>
            </w:pPr>
            <w:r>
              <w:t xml:space="preserve">3.84</w:t>
            </w:r>
          </w:p>
        </w:tc>
        <w:tc>
          <w:tcPr/>
          <w:p>
            <w:pPr>
              <w:pStyle w:val="Compact"/>
              <w:jc w:val="left"/>
            </w:pPr>
            <w:r>
              <w:t xml:space="preserve">268</w:t>
            </w:r>
          </w:p>
        </w:tc>
        <w:tc>
          <w:tcPr/>
          <w:p>
            <w:pPr>
              <w:pStyle w:val="Compact"/>
              <w:jc w:val="left"/>
            </w:pPr>
            <w:r>
              <w:t xml:space="preserve">100.00</w:t>
            </w:r>
          </w:p>
        </w:tc>
        <w:tc>
          <w:tcPr/>
          <w:p>
            <w:pPr>
              <w:pStyle w:val="Compact"/>
              <w:jc w:val="left"/>
            </w:pPr>
            <w:r>
              <w:t xml:space="preserve">0.00</w:t>
            </w:r>
          </w:p>
        </w:tc>
        <w:tc>
          <w:tcPr/>
          <w:p>
            <w:pPr>
              <w:pStyle w:val="Compact"/>
              <w:jc w:val="left"/>
            </w:pPr>
            <w:r>
              <w:t xml:space="preserve">268</w:t>
            </w:r>
          </w:p>
        </w:tc>
      </w:tr>
      <w:tr>
        <w:tc>
          <w:tcPr/>
          <w:p>
            <w:pPr>
              <w:pStyle w:val="Compact"/>
              <w:jc w:val="left"/>
            </w:pPr>
            <w:r>
              <w:t xml:space="preserve">2320</w:t>
            </w:r>
          </w:p>
        </w:tc>
        <w:tc>
          <w:tcPr/>
          <w:p>
            <w:pPr>
              <w:pStyle w:val="Compact"/>
              <w:jc w:val="left"/>
            </w:pPr>
            <w:r>
              <w:t xml:space="preserve">93.85</w:t>
            </w:r>
          </w:p>
        </w:tc>
        <w:tc>
          <w:tcPr/>
          <w:p>
            <w:pPr>
              <w:pStyle w:val="Compact"/>
              <w:jc w:val="left"/>
            </w:pPr>
            <w:r>
              <w:t xml:space="preserve">2.25</w:t>
            </w:r>
          </w:p>
        </w:tc>
        <w:tc>
          <w:tcPr/>
          <w:p>
            <w:pPr>
              <w:pStyle w:val="Compact"/>
              <w:jc w:val="left"/>
            </w:pPr>
            <w:r>
              <w:t xml:space="preserve">439</w:t>
            </w:r>
          </w:p>
        </w:tc>
        <w:tc>
          <w:tcPr/>
          <w:p>
            <w:pPr>
              <w:pStyle w:val="Compact"/>
              <w:jc w:val="left"/>
            </w:pPr>
            <w:r>
              <w:t xml:space="preserve">98.17</w:t>
            </w:r>
          </w:p>
        </w:tc>
        <w:tc>
          <w:tcPr/>
          <w:p>
            <w:pPr>
              <w:pStyle w:val="Compact"/>
              <w:jc w:val="left"/>
            </w:pPr>
            <w:r>
              <w:t xml:space="preserve">1.20</w:t>
            </w:r>
          </w:p>
        </w:tc>
        <w:tc>
          <w:tcPr/>
          <w:p>
            <w:pPr>
              <w:pStyle w:val="Compact"/>
              <w:jc w:val="left"/>
            </w:pPr>
            <w:r>
              <w:t xml:space="preserve">439</w:t>
            </w:r>
          </w:p>
        </w:tc>
      </w:tr>
      <w:tr>
        <w:tc>
          <w:tcPr/>
          <w:p>
            <w:pPr>
              <w:pStyle w:val="Compact"/>
              <w:jc w:val="left"/>
            </w:pPr>
            <w:r>
              <w:t xml:space="preserve">2330</w:t>
            </w:r>
          </w:p>
        </w:tc>
        <w:tc>
          <w:tcPr/>
          <w:p>
            <w:pPr>
              <w:pStyle w:val="Compact"/>
              <w:jc w:val="left"/>
            </w:pPr>
            <w:r>
              <w:t xml:space="preserve">93.58</w:t>
            </w:r>
          </w:p>
        </w:tc>
        <w:tc>
          <w:tcPr/>
          <w:p>
            <w:pPr>
              <w:pStyle w:val="Compact"/>
              <w:jc w:val="left"/>
            </w:pPr>
            <w:r>
              <w:t xml:space="preserve">2.19</w:t>
            </w:r>
          </w:p>
        </w:tc>
        <w:tc>
          <w:tcPr/>
          <w:p>
            <w:pPr>
              <w:pStyle w:val="Compact"/>
              <w:jc w:val="left"/>
            </w:pPr>
            <w:r>
              <w:t xml:space="preserve">483</w:t>
            </w:r>
          </w:p>
        </w:tc>
        <w:tc>
          <w:tcPr/>
          <w:p>
            <w:pPr>
              <w:pStyle w:val="Compact"/>
              <w:jc w:val="left"/>
            </w:pPr>
            <w:r>
              <w:t xml:space="preserve">98.91</w:t>
            </w:r>
          </w:p>
        </w:tc>
        <w:tc>
          <w:tcPr/>
          <w:p>
            <w:pPr>
              <w:pStyle w:val="Compact"/>
              <w:jc w:val="left"/>
            </w:pPr>
            <w:r>
              <w:t xml:space="preserve">0.95</w:t>
            </w:r>
          </w:p>
        </w:tc>
        <w:tc>
          <w:tcPr/>
          <w:p>
            <w:pPr>
              <w:pStyle w:val="Compact"/>
              <w:jc w:val="left"/>
            </w:pPr>
            <w:r>
              <w:t xml:space="preserve">483</w:t>
            </w:r>
          </w:p>
        </w:tc>
      </w:tr>
      <w:tr>
        <w:tc>
          <w:tcPr/>
          <w:p>
            <w:pPr>
              <w:pStyle w:val="Compact"/>
              <w:jc w:val="left"/>
            </w:pPr>
            <w:r>
              <w:t xml:space="preserve">2340</w:t>
            </w:r>
          </w:p>
        </w:tc>
        <w:tc>
          <w:tcPr/>
          <w:p>
            <w:pPr>
              <w:pStyle w:val="Compact"/>
              <w:jc w:val="left"/>
            </w:pPr>
            <w:r>
              <w:t xml:space="preserve">90.74</w:t>
            </w:r>
          </w:p>
        </w:tc>
        <w:tc>
          <w:tcPr/>
          <w:p>
            <w:pPr>
              <w:pStyle w:val="Compact"/>
              <w:jc w:val="left"/>
            </w:pPr>
            <w:r>
              <w:t xml:space="preserve">2.93</w:t>
            </w:r>
          </w:p>
        </w:tc>
        <w:tc>
          <w:tcPr/>
          <w:p>
            <w:pPr>
              <w:pStyle w:val="Compact"/>
              <w:jc w:val="left"/>
            </w:pPr>
            <w:r>
              <w:t xml:space="preserve">378</w:t>
            </w:r>
          </w:p>
        </w:tc>
        <w:tc>
          <w:tcPr/>
          <w:p>
            <w:pPr>
              <w:pStyle w:val="Compact"/>
              <w:jc w:val="left"/>
            </w:pPr>
            <w:r>
              <w:t xml:space="preserve">99.36</w:t>
            </w:r>
          </w:p>
        </w:tc>
        <w:tc>
          <w:tcPr/>
          <w:p>
            <w:pPr>
              <w:pStyle w:val="Compact"/>
              <w:jc w:val="left"/>
            </w:pPr>
            <w:r>
              <w:t xml:space="preserve">0.76</w:t>
            </w:r>
          </w:p>
        </w:tc>
        <w:tc>
          <w:tcPr/>
          <w:p>
            <w:pPr>
              <w:pStyle w:val="Compact"/>
              <w:jc w:val="left"/>
            </w:pPr>
            <w:r>
              <w:t xml:space="preserve">378</w:t>
            </w:r>
          </w:p>
        </w:tc>
      </w:tr>
      <w:tr>
        <w:tc>
          <w:tcPr/>
          <w:p>
            <w:pPr>
              <w:pStyle w:val="Compact"/>
              <w:jc w:val="left"/>
            </w:pPr>
            <w:r>
              <w:t xml:space="preserve">3110</w:t>
            </w:r>
          </w:p>
        </w:tc>
        <w:tc>
          <w:tcPr/>
          <w:p>
            <w:pPr>
              <w:pStyle w:val="Compact"/>
              <w:jc w:val="left"/>
            </w:pPr>
            <w:r>
              <w:t xml:space="preserve">98.72</w:t>
            </w:r>
          </w:p>
        </w:tc>
        <w:tc>
          <w:tcPr/>
          <w:p>
            <w:pPr>
              <w:pStyle w:val="Compact"/>
              <w:jc w:val="left"/>
            </w:pPr>
            <w:r>
              <w:t xml:space="preserve">0.62</w:t>
            </w:r>
          </w:p>
        </w:tc>
        <w:tc>
          <w:tcPr/>
          <w:p>
            <w:pPr>
              <w:pStyle w:val="Compact"/>
              <w:jc w:val="left"/>
            </w:pPr>
            <w:r>
              <w:t xml:space="preserve">1247</w:t>
            </w:r>
          </w:p>
        </w:tc>
        <w:tc>
          <w:tcPr/>
          <w:p>
            <w:pPr>
              <w:pStyle w:val="Compact"/>
              <w:jc w:val="left"/>
            </w:pPr>
            <w:r>
              <w:t xml:space="preserve">95.68</w:t>
            </w:r>
          </w:p>
        </w:tc>
        <w:tc>
          <w:tcPr/>
          <w:p>
            <w:pPr>
              <w:pStyle w:val="Compact"/>
              <w:jc w:val="left"/>
            </w:pPr>
            <w:r>
              <w:t xml:space="preserve">1.03</w:t>
            </w:r>
          </w:p>
        </w:tc>
        <w:tc>
          <w:tcPr/>
          <w:p>
            <w:pPr>
              <w:pStyle w:val="Compact"/>
              <w:jc w:val="left"/>
            </w:pPr>
            <w:r>
              <w:t xml:space="preserve">1247</w:t>
            </w:r>
          </w:p>
        </w:tc>
      </w:tr>
      <w:tr>
        <w:tc>
          <w:tcPr/>
          <w:p>
            <w:pPr>
              <w:pStyle w:val="Compact"/>
              <w:jc w:val="left"/>
            </w:pPr>
            <w:r>
              <w:t xml:space="preserve">3120</w:t>
            </w:r>
          </w:p>
        </w:tc>
        <w:tc>
          <w:tcPr/>
          <w:p>
            <w:pPr>
              <w:pStyle w:val="Compact"/>
              <w:jc w:val="left"/>
            </w:pPr>
            <w:r>
              <w:t xml:space="preserve">96.08</w:t>
            </w:r>
          </w:p>
        </w:tc>
        <w:tc>
          <w:tcPr/>
          <w:p>
            <w:pPr>
              <w:pStyle w:val="Compact"/>
              <w:jc w:val="left"/>
            </w:pPr>
            <w:r>
              <w:t xml:space="preserve">1.95</w:t>
            </w:r>
          </w:p>
        </w:tc>
        <w:tc>
          <w:tcPr/>
          <w:p>
            <w:pPr>
              <w:pStyle w:val="Compact"/>
              <w:jc w:val="left"/>
            </w:pPr>
            <w:r>
              <w:t xml:space="preserve">383</w:t>
            </w:r>
          </w:p>
        </w:tc>
        <w:tc>
          <w:tcPr/>
          <w:p>
            <w:pPr>
              <w:pStyle w:val="Compact"/>
              <w:jc w:val="left"/>
            </w:pPr>
            <w:r>
              <w:t xml:space="preserve">99.51</w:t>
            </w:r>
          </w:p>
        </w:tc>
        <w:tc>
          <w:tcPr/>
          <w:p>
            <w:pPr>
              <w:pStyle w:val="Compact"/>
              <w:jc w:val="left"/>
            </w:pPr>
            <w:r>
              <w:t xml:space="preserve">0.96</w:t>
            </w:r>
          </w:p>
        </w:tc>
        <w:tc>
          <w:tcPr/>
          <w:p>
            <w:pPr>
              <w:pStyle w:val="Compact"/>
              <w:jc w:val="left"/>
            </w:pPr>
            <w:r>
              <w:t xml:space="preserve">383</w:t>
            </w:r>
          </w:p>
        </w:tc>
      </w:tr>
      <w:tr>
        <w:tc>
          <w:tcPr/>
          <w:p>
            <w:pPr>
              <w:pStyle w:val="Compact"/>
              <w:jc w:val="left"/>
            </w:pPr>
            <w:r>
              <w:t xml:space="preserve">3210</w:t>
            </w:r>
          </w:p>
        </w:tc>
        <w:tc>
          <w:tcPr/>
          <w:p>
            <w:pPr>
              <w:pStyle w:val="Compact"/>
              <w:jc w:val="left"/>
            </w:pPr>
            <w:r>
              <w:t xml:space="preserve">99.07</w:t>
            </w:r>
          </w:p>
        </w:tc>
        <w:tc>
          <w:tcPr/>
          <w:p>
            <w:pPr>
              <w:pStyle w:val="Compact"/>
              <w:jc w:val="left"/>
            </w:pPr>
            <w:r>
              <w:t xml:space="preserve">0.54</w:t>
            </w:r>
          </w:p>
        </w:tc>
        <w:tc>
          <w:tcPr/>
          <w:p>
            <w:pPr>
              <w:pStyle w:val="Compact"/>
              <w:jc w:val="left"/>
            </w:pPr>
            <w:r>
              <w:t xml:space="preserve">1189</w:t>
            </w:r>
          </w:p>
        </w:tc>
        <w:tc>
          <w:tcPr/>
          <w:p>
            <w:pPr>
              <w:pStyle w:val="Compact"/>
              <w:jc w:val="left"/>
            </w:pPr>
            <w:r>
              <w:t xml:space="preserve">95.89</w:t>
            </w:r>
          </w:p>
        </w:tc>
        <w:tc>
          <w:tcPr/>
          <w:p>
            <w:pPr>
              <w:pStyle w:val="Compact"/>
              <w:jc w:val="left"/>
            </w:pPr>
            <w:r>
              <w:t xml:space="preserve">1.15</w:t>
            </w:r>
          </w:p>
        </w:tc>
        <w:tc>
          <w:tcPr/>
          <w:p>
            <w:pPr>
              <w:pStyle w:val="Compact"/>
              <w:jc w:val="left"/>
            </w:pPr>
            <w:r>
              <w:t xml:space="preserve">1189</w:t>
            </w:r>
          </w:p>
        </w:tc>
      </w:tr>
      <w:tr>
        <w:tc>
          <w:tcPr/>
          <w:p>
            <w:pPr>
              <w:pStyle w:val="Compact"/>
              <w:jc w:val="left"/>
            </w:pPr>
            <w:r>
              <w:t xml:space="preserve">3220</w:t>
            </w:r>
          </w:p>
        </w:tc>
        <w:tc>
          <w:tcPr/>
          <w:p>
            <w:pPr>
              <w:pStyle w:val="Compact"/>
              <w:jc w:val="left"/>
            </w:pPr>
            <w:r>
              <w:t xml:space="preserve">93.13</w:t>
            </w:r>
          </w:p>
        </w:tc>
        <w:tc>
          <w:tcPr/>
          <w:p>
            <w:pPr>
              <w:pStyle w:val="Compact"/>
              <w:jc w:val="left"/>
            </w:pPr>
            <w:r>
              <w:t xml:space="preserve">2.91</w:t>
            </w:r>
          </w:p>
        </w:tc>
        <w:tc>
          <w:tcPr/>
          <w:p>
            <w:pPr>
              <w:pStyle w:val="Compact"/>
              <w:jc w:val="left"/>
            </w:pPr>
            <w:r>
              <w:t xml:space="preserve">291</w:t>
            </w:r>
          </w:p>
        </w:tc>
        <w:tc>
          <w:tcPr/>
          <w:p>
            <w:pPr>
              <w:pStyle w:val="Compact"/>
              <w:jc w:val="left"/>
            </w:pPr>
            <w:r>
              <w:t xml:space="preserve">91.18</w:t>
            </w:r>
          </w:p>
        </w:tc>
        <w:tc>
          <w:tcPr/>
          <w:p>
            <w:pPr>
              <w:pStyle w:val="Compact"/>
              <w:jc w:val="left"/>
            </w:pPr>
            <w:r>
              <w:t xml:space="preserve">11.23</w:t>
            </w:r>
          </w:p>
        </w:tc>
        <w:tc>
          <w:tcPr/>
          <w:p>
            <w:pPr>
              <w:pStyle w:val="Compact"/>
              <w:jc w:val="left"/>
            </w:pPr>
            <w:r>
              <w:t xml:space="preserve">291</w:t>
            </w:r>
          </w:p>
        </w:tc>
      </w:tr>
      <w:tr>
        <w:tc>
          <w:tcPr/>
          <w:p>
            <w:pPr>
              <w:pStyle w:val="Compact"/>
              <w:jc w:val="left"/>
            </w:pPr>
            <w:r>
              <w:t xml:space="preserve">3310</w:t>
            </w:r>
          </w:p>
        </w:tc>
        <w:tc>
          <w:tcPr/>
          <w:p>
            <w:pPr>
              <w:pStyle w:val="Compact"/>
              <w:jc w:val="left"/>
            </w:pPr>
            <w:r>
              <w:t xml:space="preserve">97.83</w:t>
            </w:r>
          </w:p>
        </w:tc>
        <w:tc>
          <w:tcPr/>
          <w:p>
            <w:pPr>
              <w:pStyle w:val="Compact"/>
              <w:jc w:val="left"/>
            </w:pPr>
            <w:r>
              <w:t xml:space="preserve">1.22</w:t>
            </w:r>
          </w:p>
        </w:tc>
        <w:tc>
          <w:tcPr/>
          <w:p>
            <w:pPr>
              <w:pStyle w:val="Compact"/>
              <w:jc w:val="left"/>
            </w:pPr>
            <w:r>
              <w:t xml:space="preserve">553</w:t>
            </w:r>
          </w:p>
        </w:tc>
        <w:tc>
          <w:tcPr/>
          <w:p>
            <w:pPr>
              <w:pStyle w:val="Compact"/>
              <w:jc w:val="left"/>
            </w:pPr>
            <w:r>
              <w:t xml:space="preserve">99.17</w:t>
            </w:r>
          </w:p>
        </w:tc>
        <w:tc>
          <w:tcPr/>
          <w:p>
            <w:pPr>
              <w:pStyle w:val="Compact"/>
              <w:jc w:val="left"/>
            </w:pPr>
            <w:r>
              <w:t xml:space="preserve">0.63</w:t>
            </w:r>
          </w:p>
        </w:tc>
        <w:tc>
          <w:tcPr/>
          <w:p>
            <w:pPr>
              <w:pStyle w:val="Compact"/>
              <w:jc w:val="left"/>
            </w:pPr>
            <w:r>
              <w:t xml:space="preserve">553</w:t>
            </w:r>
          </w:p>
        </w:tc>
      </w:tr>
      <w:tr>
        <w:tc>
          <w:tcPr/>
          <w:p>
            <w:pPr>
              <w:pStyle w:val="Compact"/>
              <w:jc w:val="left"/>
            </w:pPr>
            <w:r>
              <w:t xml:space="preserve">3320</w:t>
            </w:r>
          </w:p>
        </w:tc>
        <w:tc>
          <w:tcPr/>
          <w:p>
            <w:pPr>
              <w:pStyle w:val="Compact"/>
              <w:jc w:val="left"/>
            </w:pPr>
            <w:r>
              <w:t xml:space="preserve">83.78</w:t>
            </w:r>
          </w:p>
        </w:tc>
        <w:tc>
          <w:tcPr/>
          <w:p>
            <w:pPr>
              <w:pStyle w:val="Compact"/>
              <w:jc w:val="left"/>
            </w:pPr>
            <w:r>
              <w:t xml:space="preserve">8.46</w:t>
            </w:r>
          </w:p>
        </w:tc>
        <w:tc>
          <w:tcPr/>
          <w:p>
            <w:pPr>
              <w:pStyle w:val="Compact"/>
              <w:jc w:val="left"/>
            </w:pPr>
            <w:r>
              <w:t xml:space="preserve">74</w:t>
            </w:r>
          </w:p>
        </w:tc>
        <w:tc>
          <w:tcPr/>
          <w:p>
            <w:pPr>
              <w:pStyle w:val="Compact"/>
              <w:jc w:val="left"/>
            </w:pPr>
            <w:r>
              <w:t xml:space="preserve">100.00</w:t>
            </w:r>
          </w:p>
        </w:tc>
        <w:tc>
          <w:tcPr/>
          <w:p>
            <w:pPr>
              <w:pStyle w:val="Compact"/>
              <w:jc w:val="left"/>
            </w:pPr>
            <w:r>
              <w:t xml:space="preserve">0.00</w:t>
            </w:r>
          </w:p>
        </w:tc>
        <w:tc>
          <w:tcPr/>
          <w:p>
            <w:pPr>
              <w:pStyle w:val="Compact"/>
              <w:jc w:val="left"/>
            </w:pPr>
            <w:r>
              <w:t xml:space="preserve">74</w:t>
            </w:r>
          </w:p>
        </w:tc>
      </w:tr>
      <w:tr>
        <w:tc>
          <w:tcPr/>
          <w:p>
            <w:pPr>
              <w:pStyle w:val="Compact"/>
              <w:jc w:val="left"/>
            </w:pPr>
            <w:r>
              <w:t xml:space="preserve">3400</w:t>
            </w:r>
          </w:p>
        </w:tc>
        <w:tc>
          <w:tcPr/>
          <w:p>
            <w:pPr>
              <w:pStyle w:val="Compact"/>
              <w:jc w:val="left"/>
            </w:pPr>
            <w:r>
              <w:t xml:space="preserve">96.31</w:t>
            </w:r>
          </w:p>
        </w:tc>
        <w:tc>
          <w:tcPr/>
          <w:p>
            <w:pPr>
              <w:pStyle w:val="Compact"/>
              <w:jc w:val="left"/>
            </w:pPr>
            <w:r>
              <w:t xml:space="preserve">1.30</w:t>
            </w:r>
          </w:p>
        </w:tc>
        <w:tc>
          <w:tcPr/>
          <w:p>
            <w:pPr>
              <w:pStyle w:val="Compact"/>
              <w:jc w:val="left"/>
            </w:pPr>
            <w:r>
              <w:t xml:space="preserve">812</w:t>
            </w:r>
          </w:p>
        </w:tc>
        <w:tc>
          <w:tcPr/>
          <w:p>
            <w:pPr>
              <w:pStyle w:val="Compact"/>
              <w:jc w:val="left"/>
            </w:pPr>
            <w:r>
              <w:t xml:space="preserve">88.52</w:t>
            </w:r>
          </w:p>
        </w:tc>
        <w:tc>
          <w:tcPr/>
          <w:p>
            <w:pPr>
              <w:pStyle w:val="Compact"/>
              <w:jc w:val="left"/>
            </w:pPr>
            <w:r>
              <w:t xml:space="preserve">1.76</w:t>
            </w:r>
          </w:p>
        </w:tc>
        <w:tc>
          <w:tcPr/>
          <w:p>
            <w:pPr>
              <w:pStyle w:val="Compact"/>
              <w:jc w:val="left"/>
            </w:pPr>
            <w:r>
              <w:t xml:space="preserve">812</w:t>
            </w:r>
          </w:p>
        </w:tc>
      </w:tr>
      <w:tr>
        <w:tc>
          <w:tcPr/>
          <w:p>
            <w:pPr>
              <w:pStyle w:val="Compact"/>
              <w:jc w:val="left"/>
            </w:pPr>
            <w:r>
              <w:t xml:space="preserve">3500</w:t>
            </w:r>
          </w:p>
        </w:tc>
        <w:tc>
          <w:tcPr/>
          <w:p>
            <w:pPr>
              <w:pStyle w:val="Compact"/>
              <w:jc w:val="left"/>
            </w:pPr>
            <w:r>
              <w:t xml:space="preserve">97.78</w:t>
            </w:r>
          </w:p>
        </w:tc>
        <w:tc>
          <w:tcPr/>
          <w:p>
            <w:pPr>
              <w:pStyle w:val="Compact"/>
              <w:jc w:val="left"/>
            </w:pPr>
            <w:r>
              <w:t xml:space="preserve">1.36</w:t>
            </w:r>
          </w:p>
        </w:tc>
        <w:tc>
          <w:tcPr/>
          <w:p>
            <w:pPr>
              <w:pStyle w:val="Compact"/>
              <w:jc w:val="left"/>
            </w:pPr>
            <w:r>
              <w:t xml:space="preserve">451</w:t>
            </w:r>
          </w:p>
        </w:tc>
        <w:tc>
          <w:tcPr/>
          <w:p>
            <w:pPr>
              <w:pStyle w:val="Compact"/>
              <w:jc w:val="left"/>
            </w:pPr>
            <w:r>
              <w:t xml:space="preserve">98.84</w:t>
            </w:r>
          </w:p>
        </w:tc>
        <w:tc>
          <w:tcPr/>
          <w:p>
            <w:pPr>
              <w:pStyle w:val="Compact"/>
              <w:jc w:val="left"/>
            </w:pPr>
            <w:r>
              <w:t xml:space="preserve">1.30</w:t>
            </w:r>
          </w:p>
        </w:tc>
        <w:tc>
          <w:tcPr/>
          <w:p>
            <w:pPr>
              <w:pStyle w:val="Compact"/>
              <w:jc w:val="left"/>
            </w:pPr>
            <w:r>
              <w:t xml:space="preserve">451</w:t>
            </w:r>
          </w:p>
        </w:tc>
      </w:tr>
      <w:tr>
        <w:tc>
          <w:tcPr/>
          <w:p>
            <w:pPr>
              <w:pStyle w:val="Compact"/>
              <w:jc w:val="left"/>
            </w:pPr>
            <w:r>
              <w:t xml:space="preserve">3600</w:t>
            </w:r>
          </w:p>
        </w:tc>
        <w:tc>
          <w:tcPr/>
          <w:p>
            <w:pPr>
              <w:pStyle w:val="Compact"/>
              <w:jc w:val="left"/>
            </w:pPr>
            <w:r>
              <w:t xml:space="preserve">87.39</w:t>
            </w:r>
          </w:p>
        </w:tc>
        <w:tc>
          <w:tcPr/>
          <w:p>
            <w:pPr>
              <w:pStyle w:val="Compact"/>
              <w:jc w:val="left"/>
            </w:pPr>
            <w:r>
              <w:t xml:space="preserve">4.23</w:t>
            </w:r>
          </w:p>
        </w:tc>
        <w:tc>
          <w:tcPr/>
          <w:p>
            <w:pPr>
              <w:pStyle w:val="Compact"/>
              <w:jc w:val="left"/>
            </w:pPr>
            <w:r>
              <w:t xml:space="preserve">238</w:t>
            </w:r>
          </w:p>
        </w:tc>
        <w:tc>
          <w:tcPr/>
          <w:p>
            <w:pPr>
              <w:pStyle w:val="Compact"/>
              <w:jc w:val="left"/>
            </w:pPr>
            <w:r>
              <w:t xml:space="preserve">100.00</w:t>
            </w:r>
          </w:p>
        </w:tc>
        <w:tc>
          <w:tcPr/>
          <w:p>
            <w:pPr>
              <w:pStyle w:val="Compact"/>
              <w:jc w:val="left"/>
            </w:pPr>
            <w:r>
              <w:t xml:space="preserve">0.00</w:t>
            </w:r>
          </w:p>
        </w:tc>
        <w:tc>
          <w:tcPr/>
          <w:p>
            <w:pPr>
              <w:pStyle w:val="Compact"/>
              <w:jc w:val="left"/>
            </w:pPr>
            <w:r>
              <w:t xml:space="preserve">238</w:t>
            </w:r>
          </w:p>
        </w:tc>
      </w:tr>
      <w:tr>
        <w:tc>
          <w:tcPr/>
          <w:p>
            <w:pPr>
              <w:pStyle w:val="Compact"/>
              <w:jc w:val="left"/>
            </w:pPr>
            <w:r>
              <w:t xml:space="preserve">4100</w:t>
            </w:r>
          </w:p>
        </w:tc>
        <w:tc>
          <w:tcPr/>
          <w:p>
            <w:pPr>
              <w:pStyle w:val="Compact"/>
              <w:jc w:val="left"/>
            </w:pPr>
            <w:r>
              <w:t xml:space="preserve">97.52</w:t>
            </w:r>
          </w:p>
        </w:tc>
        <w:tc>
          <w:tcPr/>
          <w:p>
            <w:pPr>
              <w:pStyle w:val="Compact"/>
              <w:jc w:val="left"/>
            </w:pPr>
            <w:r>
              <w:t xml:space="preserve">0.98</w:t>
            </w:r>
          </w:p>
        </w:tc>
        <w:tc>
          <w:tcPr/>
          <w:p>
            <w:pPr>
              <w:pStyle w:val="Compact"/>
              <w:jc w:val="left"/>
            </w:pPr>
            <w:r>
              <w:t xml:space="preserve">969</w:t>
            </w:r>
          </w:p>
        </w:tc>
        <w:tc>
          <w:tcPr/>
          <w:p>
            <w:pPr>
              <w:pStyle w:val="Compact"/>
              <w:jc w:val="left"/>
            </w:pPr>
            <w:r>
              <w:t xml:space="preserve">97.52</w:t>
            </w:r>
          </w:p>
        </w:tc>
        <w:tc>
          <w:tcPr/>
          <w:p>
            <w:pPr>
              <w:pStyle w:val="Compact"/>
              <w:jc w:val="left"/>
            </w:pPr>
            <w:r>
              <w:t xml:space="preserve">0.86</w:t>
            </w:r>
          </w:p>
        </w:tc>
        <w:tc>
          <w:tcPr/>
          <w:p>
            <w:pPr>
              <w:pStyle w:val="Compact"/>
              <w:jc w:val="left"/>
            </w:pPr>
            <w:r>
              <w:t xml:space="preserve">969</w:t>
            </w:r>
          </w:p>
        </w:tc>
      </w:tr>
      <w:tr>
        <w:tc>
          <w:tcPr/>
          <w:p>
            <w:pPr>
              <w:pStyle w:val="Compact"/>
              <w:jc w:val="left"/>
            </w:pPr>
            <w:r>
              <w:t xml:space="preserve">4211</w:t>
            </w:r>
          </w:p>
        </w:tc>
        <w:tc>
          <w:tcPr/>
          <w:p>
            <w:pPr>
              <w:pStyle w:val="Compact"/>
              <w:jc w:val="left"/>
            </w:pPr>
            <w:r>
              <w:t xml:space="preserve">91.32</w:t>
            </w:r>
          </w:p>
        </w:tc>
        <w:tc>
          <w:tcPr/>
          <w:p>
            <w:pPr>
              <w:pStyle w:val="Compact"/>
              <w:jc w:val="left"/>
            </w:pPr>
            <w:r>
              <w:t xml:space="preserve">3.40</w:t>
            </w:r>
          </w:p>
        </w:tc>
        <w:tc>
          <w:tcPr/>
          <w:p>
            <w:pPr>
              <w:pStyle w:val="Compact"/>
              <w:jc w:val="left"/>
            </w:pPr>
            <w:r>
              <w:t xml:space="preserve">265</w:t>
            </w:r>
          </w:p>
        </w:tc>
        <w:tc>
          <w:tcPr/>
          <w:p>
            <w:pPr>
              <w:pStyle w:val="Compact"/>
              <w:jc w:val="left"/>
            </w:pPr>
            <w:r>
              <w:t xml:space="preserve">92.04</w:t>
            </w:r>
          </w:p>
        </w:tc>
        <w:tc>
          <w:tcPr/>
          <w:p>
            <w:pPr>
              <w:pStyle w:val="Compact"/>
              <w:jc w:val="left"/>
            </w:pPr>
            <w:r>
              <w:t xml:space="preserve">2.86</w:t>
            </w:r>
          </w:p>
        </w:tc>
        <w:tc>
          <w:tcPr/>
          <w:p>
            <w:pPr>
              <w:pStyle w:val="Compact"/>
              <w:jc w:val="left"/>
            </w:pPr>
            <w:r>
              <w:t xml:space="preserve">265</w:t>
            </w:r>
          </w:p>
        </w:tc>
      </w:tr>
      <w:tr>
        <w:tc>
          <w:tcPr/>
          <w:p>
            <w:pPr>
              <w:pStyle w:val="Compact"/>
              <w:jc w:val="left"/>
            </w:pPr>
            <w:r>
              <w:t xml:space="preserve">4212</w:t>
            </w:r>
          </w:p>
        </w:tc>
        <w:tc>
          <w:tcPr/>
          <w:p>
            <w:pPr>
              <w:pStyle w:val="Compact"/>
              <w:jc w:val="left"/>
            </w:pPr>
            <w:r>
              <w:t xml:space="preserve">95.10</w:t>
            </w:r>
          </w:p>
        </w:tc>
        <w:tc>
          <w:tcPr/>
          <w:p>
            <w:pPr>
              <w:pStyle w:val="Compact"/>
              <w:jc w:val="left"/>
            </w:pPr>
            <w:r>
              <w:t xml:space="preserve">1.14</w:t>
            </w:r>
          </w:p>
        </w:tc>
        <w:tc>
          <w:tcPr/>
          <w:p>
            <w:pPr>
              <w:pStyle w:val="Compact"/>
              <w:jc w:val="left"/>
            </w:pPr>
            <w:r>
              <w:t xml:space="preserve">1388</w:t>
            </w:r>
          </w:p>
        </w:tc>
        <w:tc>
          <w:tcPr/>
          <w:p>
            <w:pPr>
              <w:pStyle w:val="Compact"/>
              <w:jc w:val="left"/>
            </w:pPr>
            <w:r>
              <w:t xml:space="preserve">93.28</w:t>
            </w:r>
          </w:p>
        </w:tc>
        <w:tc>
          <w:tcPr/>
          <w:p>
            <w:pPr>
              <w:pStyle w:val="Compact"/>
              <w:jc w:val="left"/>
            </w:pPr>
            <w:r>
              <w:t xml:space="preserve">1.32</w:t>
            </w:r>
          </w:p>
        </w:tc>
        <w:tc>
          <w:tcPr/>
          <w:p>
            <w:pPr>
              <w:pStyle w:val="Compact"/>
              <w:jc w:val="left"/>
            </w:pPr>
            <w:r>
              <w:t xml:space="preserve">1388</w:t>
            </w:r>
          </w:p>
        </w:tc>
      </w:tr>
      <w:tr>
        <w:tc>
          <w:tcPr/>
          <w:p>
            <w:pPr>
              <w:pStyle w:val="Compact"/>
              <w:jc w:val="left"/>
            </w:pPr>
            <w:r>
              <w:t xml:space="preserve">4220</w:t>
            </w:r>
          </w:p>
        </w:tc>
        <w:tc>
          <w:tcPr/>
          <w:p>
            <w:pPr>
              <w:pStyle w:val="Compact"/>
              <w:jc w:val="left"/>
            </w:pPr>
            <w:r>
              <w:t xml:space="preserve">98.56</w:t>
            </w:r>
          </w:p>
        </w:tc>
        <w:tc>
          <w:tcPr/>
          <w:p>
            <w:pPr>
              <w:pStyle w:val="Compact"/>
              <w:jc w:val="left"/>
            </w:pPr>
            <w:r>
              <w:t xml:space="preserve">1.26</w:t>
            </w:r>
          </w:p>
        </w:tc>
        <w:tc>
          <w:tcPr/>
          <w:p>
            <w:pPr>
              <w:pStyle w:val="Compact"/>
              <w:jc w:val="left"/>
            </w:pPr>
            <w:r>
              <w:t xml:space="preserve">347</w:t>
            </w:r>
          </w:p>
        </w:tc>
        <w:tc>
          <w:tcPr/>
          <w:p>
            <w:pPr>
              <w:pStyle w:val="Compact"/>
              <w:jc w:val="left"/>
            </w:pPr>
            <w:r>
              <w:t xml:space="preserve">97.19</w:t>
            </w:r>
          </w:p>
        </w:tc>
        <w:tc>
          <w:tcPr/>
          <w:p>
            <w:pPr>
              <w:pStyle w:val="Compact"/>
              <w:jc w:val="left"/>
            </w:pPr>
            <w:r>
              <w:t xml:space="preserve">1.43</w:t>
            </w:r>
          </w:p>
        </w:tc>
        <w:tc>
          <w:tcPr/>
          <w:p>
            <w:pPr>
              <w:pStyle w:val="Compact"/>
              <w:jc w:val="left"/>
            </w:pPr>
            <w:r>
              <w:t xml:space="preserve">347</w:t>
            </w:r>
          </w:p>
        </w:tc>
      </w:tr>
      <w:tr>
        <w:tc>
          <w:tcPr/>
          <w:p>
            <w:pPr>
              <w:pStyle w:val="Compact"/>
              <w:jc w:val="left"/>
            </w:pPr>
            <w:r>
              <w:t xml:space="preserve">5100</w:t>
            </w:r>
          </w:p>
        </w:tc>
        <w:tc>
          <w:tcPr/>
          <w:p>
            <w:pPr>
              <w:pStyle w:val="Compact"/>
              <w:jc w:val="left"/>
            </w:pPr>
            <w:r>
              <w:t xml:space="preserve">97.95</w:t>
            </w:r>
          </w:p>
        </w:tc>
        <w:tc>
          <w:tcPr/>
          <w:p>
            <w:pPr>
              <w:pStyle w:val="Compact"/>
              <w:jc w:val="left"/>
            </w:pPr>
            <w:r>
              <w:t xml:space="preserve">0.97</w:t>
            </w:r>
          </w:p>
        </w:tc>
        <w:tc>
          <w:tcPr/>
          <w:p>
            <w:pPr>
              <w:pStyle w:val="Compact"/>
              <w:jc w:val="left"/>
            </w:pPr>
            <w:r>
              <w:t xml:space="preserve">828</w:t>
            </w:r>
          </w:p>
        </w:tc>
        <w:tc>
          <w:tcPr/>
          <w:p>
            <w:pPr>
              <w:pStyle w:val="Compact"/>
              <w:jc w:val="left"/>
            </w:pPr>
            <w:r>
              <w:t xml:space="preserve">98.19</w:t>
            </w:r>
          </w:p>
        </w:tc>
        <w:tc>
          <w:tcPr/>
          <w:p>
            <w:pPr>
              <w:pStyle w:val="Compact"/>
              <w:jc w:val="left"/>
            </w:pPr>
            <w:r>
              <w:t xml:space="preserve">0.95</w:t>
            </w:r>
          </w:p>
        </w:tc>
        <w:tc>
          <w:tcPr/>
          <w:p>
            <w:pPr>
              <w:pStyle w:val="Compact"/>
              <w:jc w:val="left"/>
            </w:pPr>
            <w:r>
              <w:t xml:space="preserve">828</w:t>
            </w:r>
          </w:p>
        </w:tc>
      </w:tr>
      <w:tr>
        <w:tc>
          <w:tcPr/>
          <w:p>
            <w:pPr>
              <w:pStyle w:val="Compact"/>
              <w:jc w:val="left"/>
            </w:pPr>
            <w:r>
              <w:t xml:space="preserve">5200</w:t>
            </w:r>
          </w:p>
        </w:tc>
        <w:tc>
          <w:tcPr/>
          <w:p>
            <w:pPr>
              <w:pStyle w:val="Compact"/>
              <w:jc w:val="left"/>
            </w:pPr>
            <w:r>
              <w:t xml:space="preserve">97.58</w:t>
            </w:r>
          </w:p>
        </w:tc>
        <w:tc>
          <w:tcPr/>
          <w:p>
            <w:pPr>
              <w:pStyle w:val="Compact"/>
              <w:jc w:val="left"/>
            </w:pPr>
            <w:r>
              <w:t xml:space="preserve">1.30</w:t>
            </w:r>
          </w:p>
        </w:tc>
        <w:tc>
          <w:tcPr/>
          <w:p>
            <w:pPr>
              <w:pStyle w:val="Compact"/>
              <w:jc w:val="left"/>
            </w:pPr>
            <w:r>
              <w:t xml:space="preserve">537</w:t>
            </w:r>
          </w:p>
        </w:tc>
        <w:tc>
          <w:tcPr/>
          <w:p>
            <w:pPr>
              <w:pStyle w:val="Compact"/>
              <w:jc w:val="left"/>
            </w:pPr>
            <w:r>
              <w:t xml:space="preserve">98.71</w:t>
            </w:r>
          </w:p>
        </w:tc>
        <w:tc>
          <w:tcPr/>
          <w:p>
            <w:pPr>
              <w:pStyle w:val="Compact"/>
              <w:jc w:val="left"/>
            </w:pPr>
            <w:r>
              <w:t xml:space="preserve">0.89</w:t>
            </w:r>
          </w:p>
        </w:tc>
        <w:tc>
          <w:tcPr/>
          <w:p>
            <w:pPr>
              <w:pStyle w:val="Compact"/>
              <w:jc w:val="left"/>
            </w:pPr>
            <w:r>
              <w:t xml:space="preserve">537</w:t>
            </w:r>
          </w:p>
        </w:tc>
      </w:tr>
      <w:tr>
        <w:tc>
          <w:tcPr/>
          <w:p>
            <w:pPr>
              <w:pStyle w:val="Compact"/>
              <w:jc w:val="left"/>
            </w:pPr>
            <w:r>
              <w:t xml:space="preserve">5300</w:t>
            </w:r>
          </w:p>
        </w:tc>
        <w:tc>
          <w:tcPr/>
          <w:p>
            <w:pPr>
              <w:pStyle w:val="Compact"/>
              <w:jc w:val="left"/>
            </w:pPr>
            <w:r>
              <w:t xml:space="preserve">97.11</w:t>
            </w:r>
          </w:p>
        </w:tc>
        <w:tc>
          <w:tcPr/>
          <w:p>
            <w:pPr>
              <w:pStyle w:val="Compact"/>
              <w:jc w:val="left"/>
            </w:pPr>
            <w:r>
              <w:t xml:space="preserve">0.99</w:t>
            </w:r>
          </w:p>
        </w:tc>
        <w:tc>
          <w:tcPr/>
          <w:p>
            <w:pPr>
              <w:pStyle w:val="Compact"/>
              <w:jc w:val="left"/>
            </w:pPr>
            <w:r>
              <w:t xml:space="preserve">1108</w:t>
            </w:r>
          </w:p>
        </w:tc>
        <w:tc>
          <w:tcPr/>
          <w:p>
            <w:pPr>
              <w:pStyle w:val="Compact"/>
              <w:jc w:val="left"/>
            </w:pPr>
            <w:r>
              <w:t xml:space="preserve">96.16</w:t>
            </w:r>
          </w:p>
        </w:tc>
        <w:tc>
          <w:tcPr/>
          <w:p>
            <w:pPr>
              <w:pStyle w:val="Compact"/>
              <w:jc w:val="left"/>
            </w:pPr>
            <w:r>
              <w:t xml:space="preserve">1.22</w:t>
            </w:r>
          </w:p>
        </w:tc>
        <w:tc>
          <w:tcPr/>
          <w:p>
            <w:pPr>
              <w:pStyle w:val="Compact"/>
              <w:jc w:val="left"/>
            </w:pPr>
            <w:r>
              <w:t xml:space="preserve">1108</w:t>
            </w:r>
          </w:p>
        </w:tc>
      </w:tr>
      <w:tr>
        <w:tc>
          <w:tcPr/>
          <w:p>
            <w:pPr>
              <w:pStyle w:val="Compact"/>
              <w:jc w:val="left"/>
            </w:pPr>
            <w:r>
              <w:t xml:space="preserve">6100</w:t>
            </w:r>
          </w:p>
        </w:tc>
        <w:tc>
          <w:tcPr/>
          <w:p>
            <w:pPr>
              <w:pStyle w:val="Compact"/>
              <w:jc w:val="left"/>
            </w:pPr>
            <w:r>
              <w:t xml:space="preserve">91.80</w:t>
            </w:r>
          </w:p>
        </w:tc>
        <w:tc>
          <w:tcPr/>
          <w:p>
            <w:pPr>
              <w:pStyle w:val="Compact"/>
              <w:jc w:val="left"/>
            </w:pPr>
            <w:r>
              <w:t xml:space="preserve">1.86</w:t>
            </w:r>
          </w:p>
        </w:tc>
        <w:tc>
          <w:tcPr/>
          <w:p>
            <w:pPr>
              <w:pStyle w:val="Compact"/>
              <w:jc w:val="left"/>
            </w:pPr>
            <w:r>
              <w:t xml:space="preserve">841</w:t>
            </w:r>
          </w:p>
        </w:tc>
        <w:tc>
          <w:tcPr/>
          <w:p>
            <w:pPr>
              <w:pStyle w:val="Compact"/>
              <w:jc w:val="left"/>
            </w:pPr>
            <w:r>
              <w:t xml:space="preserve">96.69</w:t>
            </w:r>
          </w:p>
        </w:tc>
        <w:tc>
          <w:tcPr/>
          <w:p>
            <w:pPr>
              <w:pStyle w:val="Compact"/>
              <w:jc w:val="left"/>
            </w:pPr>
            <w:r>
              <w:t xml:space="preserve">1.37</w:t>
            </w:r>
          </w:p>
        </w:tc>
        <w:tc>
          <w:tcPr/>
          <w:p>
            <w:pPr>
              <w:pStyle w:val="Compact"/>
              <w:jc w:val="left"/>
            </w:pPr>
            <w:r>
              <w:t xml:space="preserve">841</w:t>
            </w:r>
          </w:p>
        </w:tc>
      </w:tr>
      <w:tr>
        <w:tc>
          <w:tcPr/>
          <w:p>
            <w:pPr>
              <w:pStyle w:val="Compact"/>
              <w:jc w:val="left"/>
            </w:pPr>
            <w:r>
              <w:t xml:space="preserve">6210</w:t>
            </w:r>
          </w:p>
        </w:tc>
        <w:tc>
          <w:tcPr/>
          <w:p>
            <w:pPr>
              <w:pStyle w:val="Compact"/>
              <w:jc w:val="left"/>
            </w:pPr>
            <w:r>
              <w:t xml:space="preserve">97.59</w:t>
            </w:r>
          </w:p>
        </w:tc>
        <w:tc>
          <w:tcPr/>
          <w:p>
            <w:pPr>
              <w:pStyle w:val="Compact"/>
              <w:jc w:val="left"/>
            </w:pPr>
            <w:r>
              <w:t xml:space="preserve">1.48</w:t>
            </w:r>
          </w:p>
        </w:tc>
        <w:tc>
          <w:tcPr/>
          <w:p>
            <w:pPr>
              <w:pStyle w:val="Compact"/>
              <w:jc w:val="left"/>
            </w:pPr>
            <w:r>
              <w:t xml:space="preserve">415</w:t>
            </w:r>
          </w:p>
        </w:tc>
        <w:tc>
          <w:tcPr/>
          <w:p>
            <w:pPr>
              <w:pStyle w:val="Compact"/>
              <w:jc w:val="left"/>
            </w:pPr>
            <w:r>
              <w:t xml:space="preserve">94.54</w:t>
            </w:r>
          </w:p>
        </w:tc>
        <w:tc>
          <w:tcPr/>
          <w:p>
            <w:pPr>
              <w:pStyle w:val="Compact"/>
              <w:jc w:val="left"/>
            </w:pPr>
            <w:r>
              <w:t xml:space="preserve">2.90</w:t>
            </w:r>
          </w:p>
        </w:tc>
        <w:tc>
          <w:tcPr/>
          <w:p>
            <w:pPr>
              <w:pStyle w:val="Compact"/>
              <w:jc w:val="left"/>
            </w:pPr>
            <w:r>
              <w:t xml:space="preserve">415</w:t>
            </w:r>
          </w:p>
        </w:tc>
      </w:tr>
      <w:tr>
        <w:tc>
          <w:tcPr/>
          <w:p>
            <w:pPr>
              <w:pStyle w:val="Compact"/>
              <w:jc w:val="left"/>
            </w:pPr>
            <w:r>
              <w:t xml:space="preserve">6220</w:t>
            </w:r>
          </w:p>
        </w:tc>
        <w:tc>
          <w:tcPr/>
          <w:p>
            <w:pPr>
              <w:pStyle w:val="Compact"/>
              <w:jc w:val="left"/>
            </w:pPr>
            <w:r>
              <w:t xml:space="preserve">96.93</w:t>
            </w:r>
          </w:p>
        </w:tc>
        <w:tc>
          <w:tcPr/>
          <w:p>
            <w:pPr>
              <w:pStyle w:val="Compact"/>
              <w:jc w:val="left"/>
            </w:pPr>
            <w:r>
              <w:t xml:space="preserve">1.40</w:t>
            </w:r>
          </w:p>
        </w:tc>
        <w:tc>
          <w:tcPr/>
          <w:p>
            <w:pPr>
              <w:pStyle w:val="Compact"/>
              <w:jc w:val="left"/>
            </w:pPr>
            <w:r>
              <w:t xml:space="preserve">586</w:t>
            </w:r>
          </w:p>
        </w:tc>
        <w:tc>
          <w:tcPr/>
          <w:p>
            <w:pPr>
              <w:pStyle w:val="Compact"/>
              <w:jc w:val="left"/>
            </w:pPr>
            <w:r>
              <w:t xml:space="preserve">98.78</w:t>
            </w:r>
          </w:p>
        </w:tc>
        <w:tc>
          <w:tcPr/>
          <w:p>
            <w:pPr>
              <w:pStyle w:val="Compact"/>
              <w:jc w:val="left"/>
            </w:pPr>
            <w:r>
              <w:t xml:space="preserve">1.21</w:t>
            </w:r>
          </w:p>
        </w:tc>
        <w:tc>
          <w:tcPr/>
          <w:p>
            <w:pPr>
              <w:pStyle w:val="Compact"/>
              <w:jc w:val="left"/>
            </w:pPr>
            <w:r>
              <w:t xml:space="preserve">586</w:t>
            </w:r>
          </w:p>
        </w:tc>
      </w:tr>
      <w:tr>
        <w:tc>
          <w:tcPr/>
          <w:p>
            <w:pPr>
              <w:pStyle w:val="Compact"/>
              <w:jc w:val="left"/>
            </w:pPr>
            <w:r>
              <w:t xml:space="preserve">6310</w:t>
            </w:r>
          </w:p>
        </w:tc>
        <w:tc>
          <w:tcPr/>
          <w:p>
            <w:pPr>
              <w:pStyle w:val="Compact"/>
              <w:jc w:val="left"/>
            </w:pPr>
            <w:r>
              <w:t xml:space="preserve">96.08</w:t>
            </w:r>
          </w:p>
        </w:tc>
        <w:tc>
          <w:tcPr/>
          <w:p>
            <w:pPr>
              <w:pStyle w:val="Compact"/>
              <w:jc w:val="left"/>
            </w:pPr>
            <w:r>
              <w:t xml:space="preserve">1.61</w:t>
            </w:r>
          </w:p>
        </w:tc>
        <w:tc>
          <w:tcPr/>
          <w:p>
            <w:pPr>
              <w:pStyle w:val="Compact"/>
              <w:jc w:val="left"/>
            </w:pPr>
            <w:r>
              <w:t xml:space="preserve">561</w:t>
            </w:r>
          </w:p>
        </w:tc>
        <w:tc>
          <w:tcPr/>
          <w:p>
            <w:pPr>
              <w:pStyle w:val="Compact"/>
              <w:jc w:val="left"/>
            </w:pPr>
            <w:r>
              <w:t xml:space="preserve">98.97</w:t>
            </w:r>
          </w:p>
        </w:tc>
        <w:tc>
          <w:tcPr/>
          <w:p>
            <w:pPr>
              <w:pStyle w:val="Compact"/>
              <w:jc w:val="left"/>
            </w:pPr>
            <w:r>
              <w:t xml:space="preserve">0.56</w:t>
            </w:r>
          </w:p>
        </w:tc>
        <w:tc>
          <w:tcPr/>
          <w:p>
            <w:pPr>
              <w:pStyle w:val="Compact"/>
              <w:jc w:val="left"/>
            </w:pPr>
            <w:r>
              <w:t xml:space="preserve">561</w:t>
            </w:r>
          </w:p>
        </w:tc>
      </w:tr>
      <w:tr>
        <w:tc>
          <w:tcPr/>
          <w:p>
            <w:pPr>
              <w:pStyle w:val="Compact"/>
              <w:jc w:val="left"/>
            </w:pPr>
            <w:r>
              <w:t xml:space="preserve">6320</w:t>
            </w:r>
          </w:p>
        </w:tc>
        <w:tc>
          <w:tcPr/>
          <w:p>
            <w:pPr>
              <w:pStyle w:val="Compact"/>
              <w:jc w:val="left"/>
            </w:pPr>
            <w:r>
              <w:t xml:space="preserve">96.53</w:t>
            </w:r>
          </w:p>
        </w:tc>
        <w:tc>
          <w:tcPr/>
          <w:p>
            <w:pPr>
              <w:pStyle w:val="Compact"/>
              <w:jc w:val="left"/>
            </w:pPr>
            <w:r>
              <w:t xml:space="preserve">1.58</w:t>
            </w:r>
          </w:p>
        </w:tc>
        <w:tc>
          <w:tcPr/>
          <w:p>
            <w:pPr>
              <w:pStyle w:val="Compact"/>
              <w:jc w:val="left"/>
            </w:pPr>
            <w:r>
              <w:t xml:space="preserve">519</w:t>
            </w:r>
          </w:p>
        </w:tc>
        <w:tc>
          <w:tcPr/>
          <w:p>
            <w:pPr>
              <w:pStyle w:val="Compact"/>
              <w:jc w:val="left"/>
            </w:pPr>
            <w:r>
              <w:t xml:space="preserve">100.00</w:t>
            </w:r>
          </w:p>
        </w:tc>
        <w:tc>
          <w:tcPr/>
          <w:p>
            <w:pPr>
              <w:pStyle w:val="Compact"/>
              <w:jc w:val="left"/>
            </w:pPr>
            <w:r>
              <w:t xml:space="preserve">0.00</w:t>
            </w:r>
          </w:p>
        </w:tc>
        <w:tc>
          <w:tcPr/>
          <w:p>
            <w:pPr>
              <w:pStyle w:val="Compact"/>
              <w:jc w:val="left"/>
            </w:pPr>
            <w:r>
              <w:t xml:space="preserve">519</w:t>
            </w:r>
          </w:p>
        </w:tc>
      </w:tr>
      <w:tr>
        <w:tc>
          <w:tcPr/>
          <w:p>
            <w:pPr>
              <w:pStyle w:val="Compact"/>
              <w:jc w:val="left"/>
            </w:pPr>
            <w:r>
              <w:t xml:space="preserve">6330</w:t>
            </w:r>
          </w:p>
        </w:tc>
        <w:tc>
          <w:tcPr/>
          <w:p>
            <w:pPr>
              <w:pStyle w:val="Compact"/>
              <w:jc w:val="left"/>
            </w:pPr>
            <w:r>
              <w:t xml:space="preserve">98.20</w:t>
            </w:r>
          </w:p>
        </w:tc>
        <w:tc>
          <w:tcPr/>
          <w:p>
            <w:pPr>
              <w:pStyle w:val="Compact"/>
              <w:jc w:val="left"/>
            </w:pPr>
            <w:r>
              <w:t xml:space="preserve">2.02</w:t>
            </w:r>
          </w:p>
        </w:tc>
        <w:tc>
          <w:tcPr/>
          <w:p>
            <w:pPr>
              <w:pStyle w:val="Compact"/>
              <w:jc w:val="left"/>
            </w:pPr>
            <w:r>
              <w:t xml:space="preserve">167</w:t>
            </w:r>
          </w:p>
        </w:tc>
        <w:tc>
          <w:tcPr/>
          <w:p>
            <w:pPr>
              <w:pStyle w:val="Compact"/>
              <w:jc w:val="left"/>
            </w:pPr>
            <w:r>
              <w:t xml:space="preserve">100.00</w:t>
            </w:r>
          </w:p>
        </w:tc>
        <w:tc>
          <w:tcPr/>
          <w:p>
            <w:pPr>
              <w:pStyle w:val="Compact"/>
              <w:jc w:val="left"/>
            </w:pPr>
            <w:r>
              <w:t xml:space="preserve">0.00</w:t>
            </w:r>
          </w:p>
        </w:tc>
        <w:tc>
          <w:tcPr/>
          <w:p>
            <w:pPr>
              <w:pStyle w:val="Compact"/>
              <w:jc w:val="left"/>
            </w:pPr>
            <w:r>
              <w:t xml:space="preserve">167</w:t>
            </w:r>
          </w:p>
        </w:tc>
      </w:tr>
      <w:tr>
        <w:tc>
          <w:tcPr/>
          <w:p>
            <w:pPr>
              <w:pStyle w:val="Compact"/>
              <w:jc w:val="left"/>
            </w:pPr>
            <w:r>
              <w:t xml:space="preserve">7110</w:t>
            </w:r>
          </w:p>
        </w:tc>
        <w:tc>
          <w:tcPr/>
          <w:p>
            <w:pPr>
              <w:pStyle w:val="Compact"/>
              <w:jc w:val="left"/>
            </w:pPr>
            <w:r>
              <w:t xml:space="preserve">97.90</w:t>
            </w:r>
          </w:p>
        </w:tc>
        <w:tc>
          <w:tcPr/>
          <w:p>
            <w:pPr>
              <w:pStyle w:val="Compact"/>
              <w:jc w:val="left"/>
            </w:pPr>
            <w:r>
              <w:t xml:space="preserve">1.18</w:t>
            </w:r>
          </w:p>
        </w:tc>
        <w:tc>
          <w:tcPr/>
          <w:p>
            <w:pPr>
              <w:pStyle w:val="Compact"/>
              <w:jc w:val="left"/>
            </w:pPr>
            <w:r>
              <w:t xml:space="preserve">572</w:t>
            </w:r>
          </w:p>
        </w:tc>
        <w:tc>
          <w:tcPr/>
          <w:p>
            <w:pPr>
              <w:pStyle w:val="Compact"/>
              <w:jc w:val="left"/>
            </w:pPr>
            <w:r>
              <w:t xml:space="preserve">97.51</w:t>
            </w:r>
          </w:p>
        </w:tc>
        <w:tc>
          <w:tcPr/>
          <w:p>
            <w:pPr>
              <w:pStyle w:val="Compact"/>
              <w:jc w:val="left"/>
            </w:pPr>
            <w:r>
              <w:t xml:space="preserve">1.22</w:t>
            </w:r>
          </w:p>
        </w:tc>
        <w:tc>
          <w:tcPr/>
          <w:p>
            <w:pPr>
              <w:pStyle w:val="Compact"/>
              <w:jc w:val="left"/>
            </w:pPr>
            <w:r>
              <w:t xml:space="preserve">572</w:t>
            </w:r>
          </w:p>
        </w:tc>
      </w:tr>
      <w:tr>
        <w:tc>
          <w:tcPr/>
          <w:p>
            <w:pPr>
              <w:pStyle w:val="Compact"/>
              <w:jc w:val="left"/>
            </w:pPr>
            <w:r>
              <w:t xml:space="preserve">7121</w:t>
            </w:r>
          </w:p>
        </w:tc>
        <w:tc>
          <w:tcPr/>
          <w:p>
            <w:pPr>
              <w:pStyle w:val="Compact"/>
              <w:jc w:val="left"/>
            </w:pPr>
            <w:r>
              <w:t xml:space="preserve">98.31</w:t>
            </w:r>
          </w:p>
        </w:tc>
        <w:tc>
          <w:tcPr/>
          <w:p>
            <w:pPr>
              <w:pStyle w:val="Compact"/>
              <w:jc w:val="left"/>
            </w:pPr>
            <w:r>
              <w:t xml:space="preserve">1.91</w:t>
            </w:r>
          </w:p>
        </w:tc>
        <w:tc>
          <w:tcPr/>
          <w:p>
            <w:pPr>
              <w:pStyle w:val="Compact"/>
              <w:jc w:val="left"/>
            </w:pPr>
            <w:r>
              <w:t xml:space="preserve">177</w:t>
            </w:r>
          </w:p>
        </w:tc>
        <w:tc>
          <w:tcPr/>
          <w:p>
            <w:pPr>
              <w:pStyle w:val="Compact"/>
              <w:jc w:val="left"/>
            </w:pPr>
            <w:r>
              <w:t xml:space="preserve">100.00</w:t>
            </w:r>
          </w:p>
        </w:tc>
        <w:tc>
          <w:tcPr/>
          <w:p>
            <w:pPr>
              <w:pStyle w:val="Compact"/>
              <w:jc w:val="left"/>
            </w:pPr>
            <w:r>
              <w:t xml:space="preserve">0.00</w:t>
            </w:r>
          </w:p>
        </w:tc>
        <w:tc>
          <w:tcPr/>
          <w:p>
            <w:pPr>
              <w:pStyle w:val="Compact"/>
              <w:jc w:val="left"/>
            </w:pPr>
            <w:r>
              <w:t xml:space="preserve">177</w:t>
            </w:r>
          </w:p>
        </w:tc>
      </w:tr>
      <w:tr>
        <w:tc>
          <w:tcPr/>
          <w:p>
            <w:pPr>
              <w:pStyle w:val="Compact"/>
              <w:jc w:val="left"/>
            </w:pPr>
            <w:r>
              <w:t xml:space="preserve">7122</w:t>
            </w:r>
          </w:p>
        </w:tc>
        <w:tc>
          <w:tcPr/>
          <w:p>
            <w:pPr>
              <w:pStyle w:val="Compact"/>
              <w:jc w:val="left"/>
            </w:pPr>
            <w:r>
              <w:t xml:space="preserve">100.00</w:t>
            </w:r>
          </w:p>
        </w:tc>
        <w:tc>
          <w:tcPr/>
          <w:p>
            <w:pPr>
              <w:pStyle w:val="Compact"/>
              <w:jc w:val="left"/>
            </w:pPr>
            <w:r>
              <w:t xml:space="preserve">0.00</w:t>
            </w:r>
          </w:p>
        </w:tc>
        <w:tc>
          <w:tcPr/>
          <w:p>
            <w:pPr>
              <w:pStyle w:val="Compact"/>
              <w:jc w:val="left"/>
            </w:pPr>
            <w:r>
              <w:t xml:space="preserve">164</w:t>
            </w:r>
          </w:p>
        </w:tc>
        <w:tc>
          <w:tcPr/>
          <w:p>
            <w:pPr>
              <w:pStyle w:val="Compact"/>
              <w:jc w:val="left"/>
            </w:pPr>
            <w:r>
              <w:t xml:space="preserve">99.66</w:t>
            </w:r>
          </w:p>
        </w:tc>
        <w:tc>
          <w:tcPr/>
          <w:p>
            <w:pPr>
              <w:pStyle w:val="Compact"/>
              <w:jc w:val="left"/>
            </w:pPr>
            <w:r>
              <w:t xml:space="preserve">0.67</w:t>
            </w:r>
          </w:p>
        </w:tc>
        <w:tc>
          <w:tcPr/>
          <w:p>
            <w:pPr>
              <w:pStyle w:val="Compact"/>
              <w:jc w:val="left"/>
            </w:pPr>
            <w:r>
              <w:t xml:space="preserve">164</w:t>
            </w:r>
          </w:p>
        </w:tc>
      </w:tr>
      <w:tr>
        <w:tc>
          <w:tcPr/>
          <w:p>
            <w:pPr>
              <w:pStyle w:val="Compact"/>
              <w:jc w:val="left"/>
            </w:pPr>
            <w:r>
              <w:t xml:space="preserve">7210</w:t>
            </w:r>
          </w:p>
        </w:tc>
        <w:tc>
          <w:tcPr/>
          <w:p>
            <w:pPr>
              <w:pStyle w:val="Compact"/>
              <w:jc w:val="left"/>
            </w:pPr>
            <w:r>
              <w:t xml:space="preserve">95.92</w:t>
            </w:r>
          </w:p>
        </w:tc>
        <w:tc>
          <w:tcPr/>
          <w:p>
            <w:pPr>
              <w:pStyle w:val="Compact"/>
              <w:jc w:val="left"/>
            </w:pPr>
            <w:r>
              <w:t xml:space="preserve">1.67</w:t>
            </w:r>
          </w:p>
        </w:tc>
        <w:tc>
          <w:tcPr/>
          <w:p>
            <w:pPr>
              <w:pStyle w:val="Compact"/>
              <w:jc w:val="left"/>
            </w:pPr>
            <w:r>
              <w:t xml:space="preserve">539</w:t>
            </w:r>
          </w:p>
        </w:tc>
        <w:tc>
          <w:tcPr/>
          <w:p>
            <w:pPr>
              <w:pStyle w:val="Compact"/>
              <w:jc w:val="left"/>
            </w:pPr>
            <w:r>
              <w:t xml:space="preserve">99.74</w:t>
            </w:r>
          </w:p>
        </w:tc>
        <w:tc>
          <w:tcPr/>
          <w:p>
            <w:pPr>
              <w:pStyle w:val="Compact"/>
              <w:jc w:val="left"/>
            </w:pPr>
            <w:r>
              <w:t xml:space="preserve">0.50</w:t>
            </w:r>
          </w:p>
        </w:tc>
        <w:tc>
          <w:tcPr/>
          <w:p>
            <w:pPr>
              <w:pStyle w:val="Compact"/>
              <w:jc w:val="left"/>
            </w:pPr>
            <w:r>
              <w:t xml:space="preserve">539</w:t>
            </w:r>
          </w:p>
        </w:tc>
      </w:tr>
      <w:tr>
        <w:tc>
          <w:tcPr/>
          <w:p>
            <w:pPr>
              <w:pStyle w:val="Compact"/>
              <w:jc w:val="left"/>
            </w:pPr>
            <w:r>
              <w:t xml:space="preserve">7220</w:t>
            </w:r>
          </w:p>
        </w:tc>
        <w:tc>
          <w:tcPr/>
          <w:p>
            <w:pPr>
              <w:pStyle w:val="Compact"/>
              <w:jc w:val="left"/>
            </w:pPr>
            <w:r>
              <w:t xml:space="preserve">100.00</w:t>
            </w:r>
          </w:p>
        </w:tc>
        <w:tc>
          <w:tcPr/>
          <w:p>
            <w:pPr>
              <w:pStyle w:val="Compact"/>
              <w:jc w:val="left"/>
            </w:pPr>
            <w:r>
              <w:t xml:space="preserve">0.00</w:t>
            </w:r>
          </w:p>
        </w:tc>
        <w:tc>
          <w:tcPr/>
          <w:p>
            <w:pPr>
              <w:pStyle w:val="Compact"/>
              <w:jc w:val="left"/>
            </w:pPr>
            <w:r>
              <w:t xml:space="preserve">396</w:t>
            </w:r>
          </w:p>
        </w:tc>
        <w:tc>
          <w:tcPr/>
          <w:p>
            <w:pPr>
              <w:pStyle w:val="Compact"/>
              <w:jc w:val="left"/>
            </w:pPr>
            <w:r>
              <w:t xml:space="preserve">100.00</w:t>
            </w:r>
          </w:p>
        </w:tc>
        <w:tc>
          <w:tcPr/>
          <w:p>
            <w:pPr>
              <w:pStyle w:val="Compact"/>
              <w:jc w:val="left"/>
            </w:pPr>
            <w:r>
              <w:t xml:space="preserve">0.00</w:t>
            </w:r>
          </w:p>
        </w:tc>
        <w:tc>
          <w:tcPr/>
          <w:p>
            <w:pPr>
              <w:pStyle w:val="Compact"/>
              <w:jc w:val="left"/>
            </w:pPr>
            <w:r>
              <w:t xml:space="preserve">396</w:t>
            </w:r>
          </w:p>
        </w:tc>
      </w:tr>
      <w:tr>
        <w:tc>
          <w:tcPr/>
          <w:p>
            <w:pPr>
              <w:pStyle w:val="Compact"/>
              <w:jc w:val="left"/>
            </w:pPr>
            <w:r>
              <w:t xml:space="preserve">7230</w:t>
            </w:r>
          </w:p>
        </w:tc>
        <w:tc>
          <w:tcPr/>
          <w:p>
            <w:pPr>
              <w:pStyle w:val="Compact"/>
              <w:jc w:val="left"/>
            </w:pPr>
            <w:r>
              <w:t xml:space="preserve">100.00</w:t>
            </w:r>
          </w:p>
        </w:tc>
        <w:tc>
          <w:tcPr/>
          <w:p>
            <w:pPr>
              <w:pStyle w:val="Compact"/>
              <w:jc w:val="left"/>
            </w:pPr>
            <w:r>
              <w:t xml:space="preserve">0.00</w:t>
            </w:r>
          </w:p>
        </w:tc>
        <w:tc>
          <w:tcPr/>
          <w:p>
            <w:pPr>
              <w:pStyle w:val="Compact"/>
              <w:jc w:val="left"/>
            </w:pPr>
            <w:r>
              <w:t xml:space="preserve">201</w:t>
            </w:r>
          </w:p>
        </w:tc>
        <w:tc>
          <w:tcPr/>
          <w:p>
            <w:pPr>
              <w:pStyle w:val="Compact"/>
              <w:jc w:val="left"/>
            </w:pPr>
            <w:r>
              <w:t xml:space="preserve">98.69</w:t>
            </w:r>
          </w:p>
        </w:tc>
        <w:tc>
          <w:tcPr/>
          <w:p>
            <w:pPr>
              <w:pStyle w:val="Compact"/>
              <w:jc w:val="left"/>
            </w:pPr>
            <w:r>
              <w:t xml:space="preserve">2.53</w:t>
            </w:r>
          </w:p>
        </w:tc>
        <w:tc>
          <w:tcPr/>
          <w:p>
            <w:pPr>
              <w:pStyle w:val="Compact"/>
              <w:jc w:val="left"/>
            </w:pPr>
            <w:r>
              <w:t xml:space="preserve">201</w:t>
            </w:r>
          </w:p>
        </w:tc>
      </w:tr>
      <w:tr>
        <w:tc>
          <w:tcPr/>
          <w:p>
            <w:pPr>
              <w:pStyle w:val="Compact"/>
              <w:jc w:val="left"/>
            </w:pPr>
            <w:r>
              <w:t xml:space="preserve">8110</w:t>
            </w:r>
          </w:p>
        </w:tc>
        <w:tc>
          <w:tcPr/>
          <w:p>
            <w:pPr>
              <w:pStyle w:val="Compact"/>
              <w:jc w:val="left"/>
            </w:pPr>
            <w:r>
              <w:t xml:space="preserve">98.99</w:t>
            </w:r>
          </w:p>
        </w:tc>
        <w:tc>
          <w:tcPr/>
          <w:p>
            <w:pPr>
              <w:pStyle w:val="Compact"/>
              <w:jc w:val="left"/>
            </w:pPr>
            <w:r>
              <w:t xml:space="preserve">0.75</w:t>
            </w:r>
          </w:p>
        </w:tc>
        <w:tc>
          <w:tcPr/>
          <w:p>
            <w:pPr>
              <w:pStyle w:val="Compact"/>
              <w:jc w:val="left"/>
            </w:pPr>
            <w:r>
              <w:t xml:space="preserve">693</w:t>
            </w:r>
          </w:p>
        </w:tc>
        <w:tc>
          <w:tcPr/>
          <w:p>
            <w:pPr>
              <w:pStyle w:val="Compact"/>
              <w:jc w:val="left"/>
            </w:pPr>
            <w:r>
              <w:t xml:space="preserve">99.08</w:t>
            </w:r>
          </w:p>
        </w:tc>
        <w:tc>
          <w:tcPr/>
          <w:p>
            <w:pPr>
              <w:pStyle w:val="Compact"/>
              <w:jc w:val="left"/>
            </w:pPr>
            <w:r>
              <w:t xml:space="preserve">0.61</w:t>
            </w:r>
          </w:p>
        </w:tc>
        <w:tc>
          <w:tcPr/>
          <w:p>
            <w:pPr>
              <w:pStyle w:val="Compact"/>
              <w:jc w:val="left"/>
            </w:pPr>
            <w:r>
              <w:t xml:space="preserve">693</w:t>
            </w:r>
          </w:p>
        </w:tc>
      </w:tr>
      <w:tr>
        <w:tc>
          <w:tcPr/>
          <w:p>
            <w:pPr>
              <w:pStyle w:val="Compact"/>
              <w:jc w:val="left"/>
            </w:pPr>
            <w:r>
              <w:t xml:space="preserve">8120</w:t>
            </w:r>
          </w:p>
        </w:tc>
        <w:tc>
          <w:tcPr/>
          <w:p>
            <w:pPr>
              <w:pStyle w:val="Compact"/>
              <w:jc w:val="left"/>
            </w:pPr>
            <w:r>
              <w:t xml:space="preserve">97.36</w:t>
            </w:r>
          </w:p>
        </w:tc>
        <w:tc>
          <w:tcPr/>
          <w:p>
            <w:pPr>
              <w:pStyle w:val="Compact"/>
              <w:jc w:val="left"/>
            </w:pPr>
            <w:r>
              <w:t xml:space="preserve">1.54</w:t>
            </w:r>
          </w:p>
        </w:tc>
        <w:tc>
          <w:tcPr/>
          <w:p>
            <w:pPr>
              <w:pStyle w:val="Compact"/>
              <w:jc w:val="left"/>
            </w:pPr>
            <w:r>
              <w:t xml:space="preserve">416</w:t>
            </w:r>
          </w:p>
        </w:tc>
        <w:tc>
          <w:tcPr/>
          <w:p>
            <w:pPr>
              <w:pStyle w:val="Compact"/>
              <w:jc w:val="left"/>
            </w:pPr>
            <w:r>
              <w:t xml:space="preserve">99.84</w:t>
            </w:r>
          </w:p>
        </w:tc>
        <w:tc>
          <w:tcPr/>
          <w:p>
            <w:pPr>
              <w:pStyle w:val="Compact"/>
              <w:jc w:val="left"/>
            </w:pPr>
            <w:r>
              <w:t xml:space="preserve">0.31</w:t>
            </w:r>
          </w:p>
        </w:tc>
        <w:tc>
          <w:tcPr/>
          <w:p>
            <w:pPr>
              <w:pStyle w:val="Compact"/>
              <w:jc w:val="left"/>
            </w:pPr>
            <w:r>
              <w:t xml:space="preserve">416</w:t>
            </w:r>
          </w:p>
        </w:tc>
      </w:tr>
      <w:tr>
        <w:tc>
          <w:tcPr/>
          <w:p>
            <w:pPr>
              <w:pStyle w:val="Compact"/>
              <w:jc w:val="left"/>
            </w:pPr>
            <w:r>
              <w:t xml:space="preserve">8130</w:t>
            </w:r>
          </w:p>
        </w:tc>
        <w:tc>
          <w:tcPr/>
          <w:p>
            <w:pPr>
              <w:pStyle w:val="Compact"/>
              <w:jc w:val="left"/>
            </w:pPr>
            <w:r>
              <w:t xml:space="preserve">94.32</w:t>
            </w:r>
          </w:p>
        </w:tc>
        <w:tc>
          <w:tcPr/>
          <w:p>
            <w:pPr>
              <w:pStyle w:val="Compact"/>
              <w:jc w:val="left"/>
            </w:pPr>
            <w:r>
              <w:t xml:space="preserve">2.17</w:t>
            </w:r>
          </w:p>
        </w:tc>
        <w:tc>
          <w:tcPr/>
          <w:p>
            <w:pPr>
              <w:pStyle w:val="Compact"/>
              <w:jc w:val="left"/>
            </w:pPr>
            <w:r>
              <w:t xml:space="preserve">440</w:t>
            </w:r>
          </w:p>
        </w:tc>
        <w:tc>
          <w:tcPr/>
          <w:p>
            <w:pPr>
              <w:pStyle w:val="Compact"/>
              <w:jc w:val="left"/>
            </w:pPr>
            <w:r>
              <w:t xml:space="preserve">99.25</w:t>
            </w:r>
          </w:p>
        </w:tc>
        <w:tc>
          <w:tcPr/>
          <w:p>
            <w:pPr>
              <w:pStyle w:val="Compact"/>
              <w:jc w:val="left"/>
            </w:pPr>
            <w:r>
              <w:t xml:space="preserve">1.45</w:t>
            </w:r>
          </w:p>
        </w:tc>
        <w:tc>
          <w:tcPr/>
          <w:p>
            <w:pPr>
              <w:pStyle w:val="Compact"/>
              <w:jc w:val="left"/>
            </w:pPr>
            <w:r>
              <w:t xml:space="preserve">440</w:t>
            </w:r>
          </w:p>
        </w:tc>
      </w:tr>
      <w:tr>
        <w:tc>
          <w:tcPr/>
          <w:p>
            <w:pPr>
              <w:pStyle w:val="Compact"/>
              <w:jc w:val="left"/>
            </w:pPr>
            <w:r>
              <w:t xml:space="preserve">8210</w:t>
            </w:r>
          </w:p>
        </w:tc>
        <w:tc>
          <w:tcPr/>
          <w:p>
            <w:pPr>
              <w:pStyle w:val="Compact"/>
              <w:jc w:val="left"/>
            </w:pPr>
            <w:r>
              <w:t xml:space="preserve">99.25</w:t>
            </w:r>
          </w:p>
        </w:tc>
        <w:tc>
          <w:tcPr/>
          <w:p>
            <w:pPr>
              <w:pStyle w:val="Compact"/>
              <w:jc w:val="left"/>
            </w:pPr>
            <w:r>
              <w:t xml:space="preserve">0.65</w:t>
            </w:r>
          </w:p>
        </w:tc>
        <w:tc>
          <w:tcPr/>
          <w:p>
            <w:pPr>
              <w:pStyle w:val="Compact"/>
              <w:jc w:val="left"/>
            </w:pPr>
            <w:r>
              <w:t xml:space="preserve">671</w:t>
            </w:r>
          </w:p>
        </w:tc>
        <w:tc>
          <w:tcPr/>
          <w:p>
            <w:pPr>
              <w:pStyle w:val="Compact"/>
              <w:jc w:val="left"/>
            </w:pPr>
            <w:r>
              <w:t xml:space="preserve">98.04</w:t>
            </w:r>
          </w:p>
        </w:tc>
        <w:tc>
          <w:tcPr/>
          <w:p>
            <w:pPr>
              <w:pStyle w:val="Compact"/>
              <w:jc w:val="left"/>
            </w:pPr>
            <w:r>
              <w:t xml:space="preserve">0.60</w:t>
            </w:r>
          </w:p>
        </w:tc>
        <w:tc>
          <w:tcPr/>
          <w:p>
            <w:pPr>
              <w:pStyle w:val="Compact"/>
              <w:jc w:val="left"/>
            </w:pPr>
            <w:r>
              <w:t xml:space="preserve">671</w:t>
            </w:r>
          </w:p>
        </w:tc>
      </w:tr>
      <w:tr>
        <w:tc>
          <w:tcPr/>
          <w:p>
            <w:pPr>
              <w:pStyle w:val="Compact"/>
              <w:jc w:val="left"/>
            </w:pPr>
            <w:r>
              <w:t xml:space="preserve">8220</w:t>
            </w:r>
          </w:p>
        </w:tc>
        <w:tc>
          <w:tcPr/>
          <w:p>
            <w:pPr>
              <w:pStyle w:val="Compact"/>
              <w:jc w:val="left"/>
            </w:pPr>
            <w:r>
              <w:t xml:space="preserve">95.08</w:t>
            </w:r>
          </w:p>
        </w:tc>
        <w:tc>
          <w:tcPr/>
          <w:p>
            <w:pPr>
              <w:pStyle w:val="Compact"/>
              <w:jc w:val="left"/>
            </w:pPr>
            <w:r>
              <w:t xml:space="preserve">1.92</w:t>
            </w:r>
          </w:p>
        </w:tc>
        <w:tc>
          <w:tcPr/>
          <w:p>
            <w:pPr>
              <w:pStyle w:val="Compact"/>
              <w:jc w:val="left"/>
            </w:pPr>
            <w:r>
              <w:t xml:space="preserve">488</w:t>
            </w:r>
          </w:p>
        </w:tc>
        <w:tc>
          <w:tcPr/>
          <w:p>
            <w:pPr>
              <w:pStyle w:val="Compact"/>
              <w:jc w:val="left"/>
            </w:pPr>
            <w:r>
              <w:t xml:space="preserve">99.81</w:t>
            </w:r>
          </w:p>
        </w:tc>
        <w:tc>
          <w:tcPr/>
          <w:p>
            <w:pPr>
              <w:pStyle w:val="Compact"/>
              <w:jc w:val="left"/>
            </w:pPr>
            <w:r>
              <w:t xml:space="preserve">0.37</w:t>
            </w:r>
          </w:p>
        </w:tc>
        <w:tc>
          <w:tcPr/>
          <w:p>
            <w:pPr>
              <w:pStyle w:val="Compact"/>
              <w:jc w:val="left"/>
            </w:pPr>
            <w:r>
              <w:t xml:space="preserve">488</w:t>
            </w:r>
          </w:p>
        </w:tc>
      </w:tr>
      <w:tr>
        <w:tc>
          <w:tcPr/>
          <w:p>
            <w:pPr>
              <w:pStyle w:val="Compact"/>
              <w:jc w:val="left"/>
            </w:pPr>
            <w:r>
              <w:t xml:space="preserve">8230</w:t>
            </w:r>
          </w:p>
        </w:tc>
        <w:tc>
          <w:tcPr/>
          <w:p>
            <w:pPr>
              <w:pStyle w:val="Compact"/>
              <w:jc w:val="left"/>
            </w:pPr>
            <w:r>
              <w:t xml:space="preserve">93.01</w:t>
            </w:r>
          </w:p>
        </w:tc>
        <w:tc>
          <w:tcPr/>
          <w:p>
            <w:pPr>
              <w:pStyle w:val="Compact"/>
              <w:jc w:val="left"/>
            </w:pPr>
            <w:r>
              <w:t xml:space="preserve">2.76</w:t>
            </w:r>
          </w:p>
        </w:tc>
        <w:tc>
          <w:tcPr/>
          <w:p>
            <w:pPr>
              <w:pStyle w:val="Compact"/>
              <w:jc w:val="left"/>
            </w:pPr>
            <w:r>
              <w:t xml:space="preserve">329</w:t>
            </w:r>
          </w:p>
        </w:tc>
        <w:tc>
          <w:tcPr/>
          <w:p>
            <w:pPr>
              <w:pStyle w:val="Compact"/>
              <w:jc w:val="left"/>
            </w:pPr>
            <w:r>
              <w:t xml:space="preserve">99.19</w:t>
            </w:r>
          </w:p>
        </w:tc>
        <w:tc>
          <w:tcPr/>
          <w:p>
            <w:pPr>
              <w:pStyle w:val="Compact"/>
              <w:jc w:val="left"/>
            </w:pPr>
            <w:r>
              <w:t xml:space="preserve">1.24</w:t>
            </w:r>
          </w:p>
        </w:tc>
        <w:tc>
          <w:tcPr/>
          <w:p>
            <w:pPr>
              <w:pStyle w:val="Compact"/>
              <w:jc w:val="left"/>
            </w:pPr>
            <w:r>
              <w:t xml:space="preserve">329</w:t>
            </w:r>
          </w:p>
        </w:tc>
      </w:tr>
      <w:tr>
        <w:tc>
          <w:tcPr/>
          <w:p>
            <w:pPr>
              <w:pStyle w:val="Compact"/>
              <w:jc w:val="left"/>
            </w:pPr>
            <w:r>
              <w:t xml:space="preserve">8240</w:t>
            </w:r>
          </w:p>
        </w:tc>
        <w:tc>
          <w:tcPr/>
          <w:p>
            <w:pPr>
              <w:pStyle w:val="Compact"/>
              <w:jc w:val="left"/>
            </w:pPr>
            <w:r>
              <w:t xml:space="preserve">97.52</w:t>
            </w:r>
          </w:p>
        </w:tc>
        <w:tc>
          <w:tcPr/>
          <w:p>
            <w:pPr>
              <w:pStyle w:val="Compact"/>
              <w:jc w:val="left"/>
            </w:pPr>
            <w:r>
              <w:t xml:space="preserve">1.33</w:t>
            </w:r>
          </w:p>
        </w:tc>
        <w:tc>
          <w:tcPr/>
          <w:p>
            <w:pPr>
              <w:pStyle w:val="Compact"/>
              <w:jc w:val="left"/>
            </w:pPr>
            <w:r>
              <w:t xml:space="preserve">525</w:t>
            </w:r>
          </w:p>
        </w:tc>
        <w:tc>
          <w:tcPr/>
          <w:p>
            <w:pPr>
              <w:pStyle w:val="Compact"/>
              <w:jc w:val="left"/>
            </w:pPr>
            <w:r>
              <w:t xml:space="preserve">98.65</w:t>
            </w:r>
          </w:p>
        </w:tc>
        <w:tc>
          <w:tcPr/>
          <w:p>
            <w:pPr>
              <w:pStyle w:val="Compact"/>
              <w:jc w:val="left"/>
            </w:pPr>
            <w:r>
              <w:t xml:space="preserve">2.01</w:t>
            </w:r>
          </w:p>
        </w:tc>
        <w:tc>
          <w:tcPr/>
          <w:p>
            <w:pPr>
              <w:pStyle w:val="Compact"/>
              <w:jc w:val="left"/>
            </w:pPr>
            <w:r>
              <w:t xml:space="preserve">525</w:t>
            </w:r>
          </w:p>
        </w:tc>
      </w:tr>
      <w:tr>
        <w:tc>
          <w:tcPr/>
          <w:p>
            <w:pPr>
              <w:pStyle w:val="Compact"/>
              <w:jc w:val="left"/>
            </w:pPr>
            <w:r>
              <w:t xml:space="preserve">8310</w:t>
            </w:r>
          </w:p>
        </w:tc>
        <w:tc>
          <w:tcPr/>
          <w:p>
            <w:pPr>
              <w:pStyle w:val="Compact"/>
              <w:jc w:val="left"/>
            </w:pPr>
            <w:r>
              <w:t xml:space="preserve">99.62</w:t>
            </w:r>
          </w:p>
        </w:tc>
        <w:tc>
          <w:tcPr/>
          <w:p>
            <w:pPr>
              <w:pStyle w:val="Compact"/>
              <w:jc w:val="left"/>
            </w:pPr>
            <w:r>
              <w:t xml:space="preserve">0.75</w:t>
            </w:r>
          </w:p>
        </w:tc>
        <w:tc>
          <w:tcPr/>
          <w:p>
            <w:pPr>
              <w:pStyle w:val="Compact"/>
              <w:jc w:val="left"/>
            </w:pPr>
            <w:r>
              <w:t xml:space="preserve">263</w:t>
            </w:r>
          </w:p>
        </w:tc>
        <w:tc>
          <w:tcPr/>
          <w:p>
            <w:pPr>
              <w:pStyle w:val="Compact"/>
              <w:jc w:val="left"/>
            </w:pPr>
            <w:r>
              <w:t xml:space="preserve">98.30</w:t>
            </w:r>
          </w:p>
        </w:tc>
        <w:tc>
          <w:tcPr/>
          <w:p>
            <w:pPr>
              <w:pStyle w:val="Compact"/>
              <w:jc w:val="left"/>
            </w:pPr>
            <w:r>
              <w:t xml:space="preserve">1.33</w:t>
            </w:r>
          </w:p>
        </w:tc>
        <w:tc>
          <w:tcPr/>
          <w:p>
            <w:pPr>
              <w:pStyle w:val="Compact"/>
              <w:jc w:val="left"/>
            </w:pPr>
            <w:r>
              <w:t xml:space="preserve">263</w:t>
            </w:r>
          </w:p>
        </w:tc>
      </w:tr>
      <w:tr>
        <w:tc>
          <w:tcPr/>
          <w:p>
            <w:pPr>
              <w:pStyle w:val="Compact"/>
              <w:jc w:val="left"/>
            </w:pPr>
            <w:r>
              <w:t xml:space="preserve">8320</w:t>
            </w:r>
          </w:p>
        </w:tc>
        <w:tc>
          <w:tcPr/>
          <w:p>
            <w:pPr>
              <w:pStyle w:val="Compact"/>
              <w:jc w:val="left"/>
            </w:pPr>
            <w:r>
              <w:t xml:space="preserve">99.63</w:t>
            </w:r>
          </w:p>
        </w:tc>
        <w:tc>
          <w:tcPr/>
          <w:p>
            <w:pPr>
              <w:pStyle w:val="Compact"/>
              <w:jc w:val="left"/>
            </w:pPr>
            <w:r>
              <w:t xml:space="preserve">0.72</w:t>
            </w:r>
          </w:p>
        </w:tc>
        <w:tc>
          <w:tcPr/>
          <w:p>
            <w:pPr>
              <w:pStyle w:val="Compact"/>
              <w:jc w:val="left"/>
            </w:pPr>
            <w:r>
              <w:t xml:space="preserve">273</w:t>
            </w:r>
          </w:p>
        </w:tc>
        <w:tc>
          <w:tcPr/>
          <w:p>
            <w:pPr>
              <w:pStyle w:val="Compact"/>
              <w:jc w:val="left"/>
            </w:pPr>
            <w:r>
              <w:t xml:space="preserve">100.00</w:t>
            </w:r>
          </w:p>
        </w:tc>
        <w:tc>
          <w:tcPr/>
          <w:p>
            <w:pPr>
              <w:pStyle w:val="Compact"/>
              <w:jc w:val="left"/>
            </w:pPr>
            <w:r>
              <w:t xml:space="preserve">0.00</w:t>
            </w:r>
          </w:p>
        </w:tc>
        <w:tc>
          <w:tcPr/>
          <w:p>
            <w:pPr>
              <w:pStyle w:val="Compact"/>
              <w:jc w:val="left"/>
            </w:pPr>
            <w:r>
              <w:t xml:space="preserve">273</w:t>
            </w:r>
          </w:p>
        </w:tc>
      </w:tr>
      <w:tr>
        <w:tc>
          <w:tcPr/>
          <w:p>
            <w:pPr>
              <w:pStyle w:val="Compact"/>
              <w:jc w:val="left"/>
            </w:pPr>
            <w:r>
              <w:t xml:space="preserve">8400</w:t>
            </w:r>
          </w:p>
        </w:tc>
        <w:tc>
          <w:tcPr/>
          <w:p>
            <w:pPr>
              <w:pStyle w:val="Compact"/>
              <w:jc w:val="left"/>
            </w:pPr>
            <w:r>
              <w:t xml:space="preserve">99.62</w:t>
            </w:r>
          </w:p>
        </w:tc>
        <w:tc>
          <w:tcPr/>
          <w:p>
            <w:pPr>
              <w:pStyle w:val="Compact"/>
              <w:jc w:val="left"/>
            </w:pPr>
            <w:r>
              <w:t xml:space="preserve">0.53</w:t>
            </w:r>
          </w:p>
        </w:tc>
        <w:tc>
          <w:tcPr/>
          <w:p>
            <w:pPr>
              <w:pStyle w:val="Compact"/>
              <w:jc w:val="left"/>
            </w:pPr>
            <w:r>
              <w:t xml:space="preserve">521</w:t>
            </w:r>
          </w:p>
        </w:tc>
        <w:tc>
          <w:tcPr/>
          <w:p>
            <w:pPr>
              <w:pStyle w:val="Compact"/>
              <w:jc w:val="left"/>
            </w:pPr>
            <w:r>
              <w:t xml:space="preserve">99.48</w:t>
            </w:r>
          </w:p>
        </w:tc>
        <w:tc>
          <w:tcPr/>
          <w:p>
            <w:pPr>
              <w:pStyle w:val="Compact"/>
              <w:jc w:val="left"/>
            </w:pPr>
            <w:r>
              <w:t xml:space="preserve">0.42</w:t>
            </w:r>
          </w:p>
        </w:tc>
        <w:tc>
          <w:tcPr/>
          <w:p>
            <w:pPr>
              <w:pStyle w:val="Compact"/>
              <w:jc w:val="left"/>
            </w:pPr>
            <w:r>
              <w:t xml:space="preserve">521</w:t>
            </w:r>
          </w:p>
        </w:tc>
      </w:tr>
    </w:tbl>
    <w:bookmarkEnd w:id="163"/>
    <w:sectPr w:rsidR="00A607A6">
      <w:headerReference r:id="rId9" w:type="default"/>
      <w:footerReference r:id="rId12" w:type="even"/>
      <w:footerReference r:id="rId11" w:type="default"/>
      <w:footerReference r:id="rId10" w:type="first"/>
      <w:pgSz w:h="15840" w:w="12240"/>
      <w:pgMar w:bottom="1440" w:footer="720" w:gutter="0" w:header="720" w:left="1440" w:right="1440" w:top="1440"/>
      <w:pgNumType w:start="0"/>
      <w:cols w:space="720"/>
      <w:formProt w:val="0"/>
      <w:titlePg/>
      <w:docGrid w:linePitch="299"/>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Calibri">
    <w:panose1 w:val="020F0502020204030204"/>
    <w:charset w:val="00"/>
    <w:family w:val="swiss"/>
    <w:pitch w:val="variable"/>
    <w:sig w:usb0="E0002AFF" w:usb1="C000247B" w:usb2="00000009" w:usb3="00000000" w:csb0="000001FF" w:csb1="00000000"/>
  </w:font>
  <w:font w:name="Arial">
    <w:panose1 w:val="020B0604020202020204"/>
    <w:charset w:val="00"/>
    <w:family w:val="swiss"/>
    <w:pitch w:val="variable"/>
    <w:sig w:usb0="E0002AFF" w:usb1="C0007843"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onsolas">
    <w:panose1 w:val="020B0609020204030204"/>
    <w:charset w:val="00"/>
    <w:family w:val="modern"/>
    <w:pitch w:val="fixed"/>
    <w:sig w:usb0="E10002FF" w:usb1="4000FCFF" w:usb2="00000009" w:usb3="00000000" w:csb0="0000019F" w:csb1="00000000"/>
  </w:font>
  <w:font w:name="Liberation Sans">
    <w:altName w:val="Arial"/>
    <w:panose1 w:val="020B0604020202020204"/>
    <w:charset w:val="00"/>
    <w:family w:val="swiss"/>
    <w:pitch w:val="variable"/>
    <w:sig w:usb0="E0000AFF" w:usb1="500078FF" w:usb2="00000021" w:usb3="00000000" w:csb0="000001BF" w:csb1="00000000"/>
  </w:font>
  <w:font w:name="PingFang SC">
    <w:panose1 w:val="020B0400000000000000"/>
    <w:charset w:val="86"/>
    <w:family w:val="swiss"/>
    <w:pitch w:val="variable"/>
    <w:sig w:usb0="A00002FF" w:usb1="7ACFFDFB" w:usb2="00000017" w:usb3="00000000" w:csb0="00040001" w:csb1="00000000"/>
  </w:font>
  <w:font w:name="Arial Unicode MS">
    <w:panose1 w:val="020B0604020202020204"/>
    <w:charset w:val="80"/>
    <w:family w:val="swiss"/>
    <w:pitch w:val="variable"/>
    <w:sig w:usb0="F7FFAFFF" w:usb1="E9DFFFFF" w:usb2="0000003F" w:usb3="00000000" w:csb0="003F01FF" w:csb1="00000000"/>
  </w:font>
  <w:font w:name="Times New Roman (Body CS)">
    <w:altName w:val="Times New Roman"/>
    <w:panose1 w:val="020B0604020202020204"/>
    <w:charset w:val="00"/>
    <w:family w:val="roman"/>
    <w:notTrueType/>
    <w:pitch w:val="default"/>
  </w:font>
  <w:font w:name="Aptos (Body CS)">
    <w:altName w:val="Aptos"/>
    <w:panose1 w:val="020B0604020202020204"/>
    <w:charset w:val="00"/>
    <w:family w:val="roman"/>
    <w:notTrueType/>
    <w:pitch w:val="default"/>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54607899"/>
      <w:docPartObj>
        <w:docPartGallery w:val="Page Numbers (Bottom of Page)"/>
        <w:docPartUnique/>
      </w:docPartObj>
    </w:sdtPr>
    <w:sdtContent>
      <w:p w14:paraId="7FD81618" w14:textId="77777777" w:rsidR="00A607A6" w:rsidRDefault="00000000">
        <w:pPr>
          <w:pStyle w:val="Footer"/>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rPr>
          <w:t>0</w:t>
        </w:r>
        <w:r>
          <w:rPr>
            <w:rStyle w:val="PageNumber"/>
          </w:rPr>
          <w:fldChar w:fldCharType="end"/>
        </w:r>
      </w:p>
    </w:sdtContent>
  </w:sdt>
  <w:p w14:paraId="1FD4A17D" w14:textId="77777777" w:rsidR="00A607A6" w:rsidRDefault="00A607A6">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445998446"/>
      <w:docPartObj>
        <w:docPartGallery w:val="Page Numbers (Bottom of Page)"/>
        <w:docPartUnique/>
      </w:docPartObj>
    </w:sdtPr>
    <w:sdtContent>
      <w:p w14:paraId="3A079AC1" w14:textId="3E1CA5DE" w:rsidR="00A607A6" w:rsidRDefault="006D1883">
        <w:pPr>
          <w:pStyle w:val="Footer"/>
          <w:jc w:val="right"/>
          <w:rPr>
            <w:rStyle w:val="PageNumber"/>
          </w:rPr>
        </w:pPr>
        <w:r w:rsidRPr="006D1883">
          <w:rPr>
            <w:rStyle w:val="PageNumber"/>
          </w:rPr>
          <w:fldChar w:fldCharType="begin"/>
        </w:r>
        <w:r w:rsidRPr="006D1883">
          <w:rPr>
            <w:rStyle w:val="PageNumber"/>
          </w:rPr>
          <w:instrText xml:space="preserve"> TITLE  \* MERGEFORMAT </w:instrText>
        </w:r>
        <w:r w:rsidRPr="006D1883">
          <w:rPr>
            <w:rStyle w:val="PageNumber"/>
          </w:rPr>
          <w:fldChar w:fldCharType="separate"/>
        </w:r>
        <w:r w:rsidRPr="006D1883">
          <w:rPr>
            <w:rStyle w:val="PageNumber"/>
          </w:rPr>
          <w:t>Title</w:t>
        </w:r>
        <w:r w:rsidRPr="006D1883">
          <w:rPr>
            <w:rStyle w:val="PageNumber"/>
          </w:rPr>
          <w:fldChar w:fldCharType="end"/>
        </w:r>
      </w:p>
      <w:p w14:paraId="50C8BACD" w14:textId="77777777" w:rsidR="00A607A6" w:rsidRDefault="00000000">
        <w:pPr>
          <w:pStyle w:val="Footer"/>
          <w:jc w:val="right"/>
          <w:rPr>
            <w:rStyle w:val="PageNumber"/>
          </w:rPr>
        </w:pPr>
        <w:r>
          <w:rPr>
            <w:rStyle w:val="PageNumber"/>
          </w:rPr>
          <w:t xml:space="preserve">Page | </w:t>
        </w:r>
        <w:r>
          <w:rPr>
            <w:rStyle w:val="PageNumber"/>
          </w:rPr>
          <w:fldChar w:fldCharType="begin"/>
        </w:r>
        <w:r>
          <w:rPr>
            <w:rStyle w:val="PageNumber"/>
          </w:rPr>
          <w:instrText xml:space="preserve"> PAGE </w:instrText>
        </w:r>
        <w:r>
          <w:rPr>
            <w:rStyle w:val="PageNumber"/>
          </w:rPr>
          <w:fldChar w:fldCharType="separate"/>
        </w:r>
        <w:r>
          <w:rPr>
            <w:rStyle w:val="PageNumber"/>
          </w:rPr>
          <w:t>2</w:t>
        </w:r>
        <w:r>
          <w:rPr>
            <w:rStyle w:val="PageNumber"/>
          </w:rPr>
          <w:fldChar w:fldCharType="end"/>
        </w:r>
      </w:p>
    </w:sdtContent>
  </w:sdt>
  <w:p w14:paraId="3FB31866" w14:textId="77777777" w:rsidR="00A607A6" w:rsidRDefault="00A607A6">
    <w:pPr>
      <w:pStyle w:val="Footer"/>
    </w:pPr>
  </w:p>
  <w:p w14:paraId="54BBD74C" w14:textId="77777777" w:rsidR="00A607A6" w:rsidRDefault="00A607A6">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BBBC4F1" w14:textId="77777777" w:rsidR="00A607A6" w:rsidRDefault="00000000">
    <w:pPr>
      <w:pStyle w:val="Footer"/>
      <w:jc w:val="center"/>
    </w:pPr>
    <w:r>
      <w:rPr>
        <w:noProof/>
      </w:rPr>
      <w:drawing>
        <wp:inline distT="0" distB="0" distL="0" distR="0" wp14:anchorId="474C50F5" wp14:editId="55CAADE1">
          <wp:extent cx="4246245" cy="948055"/>
          <wp:effectExtent l="0" t="0" r="0" b="0"/>
          <wp:docPr id="5" name="Image2" descr="A black background with yellow lette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2" descr="A black background with yellow letters&#10;&#10;AI-generated content may be incorrect."/>
                  <pic:cNvPicPr>
                    <a:picLocks noChangeAspect="1" noChangeArrowheads="1"/>
                  </pic:cNvPicPr>
                </pic:nvPicPr>
                <pic:blipFill>
                  <a:blip r:embed="rId1"/>
                  <a:stretch>
                    <a:fillRect/>
                  </a:stretch>
                </pic:blipFill>
                <pic:spPr bwMode="auto">
                  <a:xfrm>
                    <a:off x="0" y="0"/>
                    <a:ext cx="4246245" cy="948055"/>
                  </a:xfrm>
                  <a:prstGeom prst="rect">
                    <a:avLst/>
                  </a:prstGeom>
                </pic:spPr>
              </pic:pic>
            </a:graphicData>
          </a:graphic>
        </wp:inline>
      </w:drawing>
    </w:r>
  </w:p>
  <w:p w14:paraId="1D7F3B80" w14:textId="77777777" w:rsidR="00A607A6" w:rsidRDefault="00A607A6">
    <w:pPr>
      <w:pStyle w:val="Footer"/>
    </w:pPr>
  </w:p>
  <w:p w14:paraId="351A7132" w14:textId="77777777" w:rsidR="00A607A6" w:rsidRDefault="00A607A6">
    <w:pPr>
      <w:pStyle w:val="Footer"/>
    </w:pPr>
  </w:p>
  <w:p w14:paraId="527560E2" w14:textId="77777777" w:rsidR="00A607A6" w:rsidRDefault="00A607A6">
    <w:pPr>
      <w:pStyle w:val="Footer"/>
    </w:pPr>
  </w:p>
  <w:p w14:paraId="7C129025" w14:textId="77777777" w:rsidR="00A607A6" w:rsidRDefault="00A607A6">
    <w:pPr>
      <w:pStyle w:val="Footer"/>
    </w:pPr>
  </w:p>
  <w:p w14:paraId="6F30D7AC" w14:textId="77777777" w:rsidR="00A607A6" w:rsidRDefault="00A607A6">
    <w:pPr>
      <w:pStyle w:val="Footer"/>
    </w:pPr>
  </w:p>
  <w:p w14:paraId="3FCEC178" w14:textId="77777777" w:rsidR="00A607A6" w:rsidRDefault="00A607A6">
    <w:pPr>
      <w:pStyle w:val="Footer"/>
    </w:pPr>
  </w:p>
  <w:p w14:paraId="79E0E64B" w14:textId="77777777" w:rsidR="00A607A6" w:rsidRDefault="00A607A6">
    <w:pPr>
      <w:pStyle w:val="Footer"/>
    </w:pPr>
  </w:p>
  <w:p w14:paraId="43EFB2F2" w14:textId="77777777" w:rsidR="00A607A6" w:rsidRDefault="00A607A6">
    <w:pPr>
      <w:pStyle w:val="Footer"/>
    </w:pPr>
  </w:p>
  <w:p w14:paraId="5DB0D6BD" w14:textId="77777777" w:rsidR="00A607A6" w:rsidRDefault="00A607A6">
    <w:pPr>
      <w:pStyle w:val="Footer"/>
    </w:pPr>
  </w:p>
  <w:p w14:paraId="642AEEEB" w14:textId="77777777" w:rsidR="00A607A6" w:rsidRPr="009F621B" w:rsidRDefault="00A607A6" w:rsidP="009F621B">
    <w:pPr>
      <w:pStyle w:val="Author"/>
    </w:pPr>
  </w:p>
  <w:p w14:paraId="5E1C9A8A" w14:textId="77777777" w:rsidR="00A607A6" w:rsidRDefault="00A607A6">
    <w:pPr>
      <w:pStyle w:val="Footer"/>
    </w:pPr>
  </w:p>
  <w:p w14:paraId="0A6192ED" w14:textId="77777777" w:rsidR="00A607A6" w:rsidRDefault="00A607A6">
    <w:pPr>
      <w:pStyle w:val="Footer"/>
    </w:pPr>
  </w:p>
  <w:p w14:paraId="5C4E4C10" w14:textId="77777777" w:rsidR="00A607A6" w:rsidRDefault="00A607A6">
    <w:pPr>
      <w:pStyle w:val="Footer"/>
    </w:pPr>
  </w:p>
  <w:p w14:paraId="42C8E3F8" w14:textId="77777777" w:rsidR="00A607A6" w:rsidRDefault="00A607A6">
    <w:pPr>
      <w:pStyle w:val="Footer"/>
    </w:pPr>
  </w:p>
  <w:p w14:paraId="2FDE78FC" w14:textId="77777777" w:rsidR="00A607A6" w:rsidRDefault="00A607A6">
    <w:pPr>
      <w:pStyle w:val="Footer"/>
    </w:pPr>
  </w:p>
  <w:p w14:paraId="5C6FC45E" w14:textId="0EDF858C" w:rsidR="00A607A6" w:rsidRPr="00A01A45" w:rsidRDefault="00A01A45" w:rsidP="009F621B">
    <w:pPr>
      <w:rPr>
        <w:rFonts w:cs="Calibri"/>
      </w:rPr>
    </w:pPr>
    <w:r w:rsidRPr="00A01A45">
      <w:rPr>
        <w:rStyle w:val="SubtleReference"/>
        <w:rFonts w:ascii="Arial" w:hAnsi="Arial" w:cs="Arial"/>
        <w:bCs/>
      </w:rPr>
      <w:t>Author:</w:t>
    </w:r>
    <w:r>
      <w:rPr>
        <w:rStyle w:val="SubtleReference"/>
        <w:rFonts w:cs="Calibri"/>
      </w:rPr>
      <w:tab/>
      <w:t xml:space="preserve"> </w:t>
    </w:r>
    <w:r w:rsidR="00113702">
      <w:rPr>
        <w:rStyle w:val="SubtleReference"/>
        <w:rFonts w:cs="Calibri"/>
      </w:rPr>
      <w:tab/>
    </w:r>
    <w:r w:rsidR="00113702" w:rsidRPr="00113702">
      <w:rPr>
        <w:rFonts w:ascii="Arial" w:hAnsi="Arial" w:cs="Arial"/>
        <w:b/>
        <w:bCs/>
      </w:rPr>
      <w:t>European Environment Agency (EEA)</w:t>
    </w:r>
  </w:p>
  <w:p w14:paraId="46CD34FF" w14:textId="5A84DDA6" w:rsidR="00A607A6" w:rsidRDefault="00000000">
    <w:pPr>
      <w:rPr>
        <w:rStyle w:val="SubtleReference"/>
        <w:rFonts w:ascii="Calibri" w:hAnsi="Calibri" w:cs="Calibri"/>
      </w:rPr>
    </w:pPr>
    <w:r>
      <w:rPr>
        <w:rStyle w:val="SubtleReference"/>
        <w:rFonts w:ascii="Arial" w:hAnsi="Arial" w:cs="Arial"/>
      </w:rPr>
      <w:t>Date:</w:t>
    </w:r>
    <w:r w:rsidR="00113702">
      <w:rPr>
        <w:rStyle w:val="SubtleReference"/>
        <w:rFonts w:cs="Calibri"/>
      </w:rPr>
      <w:tab/>
    </w:r>
    <w:r w:rsidR="00113702">
      <w:rPr>
        <w:rStyle w:val="SubtleReference"/>
        <w:rFonts w:cs="Calibri"/>
      </w:rPr>
      <w:tab/>
    </w:r>
    <w:r w:rsidR="00EE2981">
      <w:rPr>
        <w:rStyle w:val="SubtleReference"/>
        <w:rFonts w:ascii="Arial" w:hAnsi="Arial" w:cs="Arial"/>
        <w:b/>
        <w:bCs/>
      </w:rPr>
      <w:fldChar w:fldCharType="begin"/>
    </w:r>
    <w:r w:rsidR="00EE2981">
      <w:rPr>
        <w:rStyle w:val="SubtleReference"/>
        <w:rFonts w:ascii="Arial" w:hAnsi="Arial" w:cs="Arial"/>
        <w:b/>
        <w:bCs/>
      </w:rPr>
      <w:instrText xml:space="preserve"> DOCPROPERTY "date" \* MERGEFORMAT </w:instrText>
    </w:r>
    <w:r w:rsidR="00EE2981">
      <w:rPr>
        <w:rStyle w:val="SubtleReference"/>
        <w:rFonts w:ascii="Arial" w:hAnsi="Arial" w:cs="Arial"/>
        <w:b/>
        <w:bCs/>
      </w:rPr>
      <w:fldChar w:fldCharType="separate"/>
    </w:r>
    <w:r w:rsidR="00FD5658">
      <w:rPr>
        <w:rStyle w:val="SubtleReference"/>
        <w:rFonts w:ascii="Arial" w:hAnsi="Arial" w:cs="Arial"/>
        <w:lang w:val="en-GB"/>
      </w:rPr>
      <w:t>Error! Unknown document property name.</w:t>
    </w:r>
    <w:r w:rsidR="00EE2981">
      <w:rPr>
        <w:rStyle w:val="SubtleReference"/>
        <w:rFonts w:ascii="Arial" w:hAnsi="Arial" w:cs="Arial"/>
        <w:b/>
        <w:bCs/>
      </w:rPr>
      <w:fldChar w:fldCharType="end"/>
    </w:r>
  </w:p>
  <w:p w14:paraId="4976F53A" w14:textId="6733A240" w:rsidR="00A607A6" w:rsidRDefault="00000000">
    <w:pPr>
      <w:rPr>
        <w:rStyle w:val="SubtleReference"/>
        <w:rFonts w:ascii="Calibri" w:hAnsi="Calibri" w:cs="Calibri"/>
      </w:rPr>
    </w:pPr>
    <w:r w:rsidRPr="00A01A45">
      <w:rPr>
        <w:rStyle w:val="SubtleReference"/>
        <w:rFonts w:ascii="Arial" w:hAnsi="Arial" w:cs="Arial"/>
      </w:rPr>
      <w:t>Version:</w:t>
    </w:r>
    <w:r w:rsidR="00113702">
      <w:rPr>
        <w:rStyle w:val="SubtleReference"/>
        <w:rFonts w:cs="Calibri"/>
      </w:rPr>
      <w:tab/>
    </w:r>
    <w:r w:rsidR="00102253">
      <w:rPr>
        <w:rStyle w:val="SubtleReference"/>
        <w:rFonts w:ascii="Arial" w:hAnsi="Arial" w:cs="Arial"/>
        <w:b/>
        <w:bCs/>
        <w:szCs w:val="22"/>
      </w:rPr>
      <w:fldChar w:fldCharType="begin"/>
    </w:r>
    <w:r w:rsidR="00102253">
      <w:rPr>
        <w:rStyle w:val="SubtleReference"/>
        <w:rFonts w:ascii="Arial" w:hAnsi="Arial" w:cs="Arial"/>
        <w:b/>
        <w:bCs/>
        <w:szCs w:val="22"/>
      </w:rPr>
      <w:instrText xml:space="preserve"> DOCPROPERTY "version" </w:instrText>
    </w:r>
    <w:r w:rsidR="00102253">
      <w:rPr>
        <w:rStyle w:val="SubtleReference"/>
        <w:rFonts w:ascii="Arial" w:hAnsi="Arial" w:cs="Arial"/>
        <w:b/>
        <w:bCs/>
        <w:szCs w:val="22"/>
      </w:rPr>
      <w:fldChar w:fldCharType="separate"/>
    </w:r>
    <w:r w:rsidR="00102253">
      <w:rPr>
        <w:rStyle w:val="SubtleReference"/>
        <w:rFonts w:ascii="Arial" w:hAnsi="Arial" w:cs="Arial"/>
        <w:szCs w:val="22"/>
        <w:lang w:val="en-GB"/>
      </w:rPr>
      <w:t>Error! Unknown document property name.</w:t>
    </w:r>
    <w:r w:rsidR="00102253">
      <w:rPr>
        <w:rStyle w:val="SubtleReference"/>
        <w:rFonts w:ascii="Arial" w:hAnsi="Arial" w:cs="Arial"/>
        <w:b/>
        <w:bCs/>
        <w:szCs w:val="22"/>
      </w:rPr>
      <w:fldChar w:fldCharType="end"/>
    </w:r>
  </w:p>
  <w:p w14:paraId="73AA7CB2" w14:textId="77777777" w:rsidR="00A607A6" w:rsidRDefault="00A607A6">
    <w:pPr>
      <w:pStyle w:val="Footer"/>
    </w:pPr>
  </w:p>
  <w:p w14:paraId="6E7EB591" w14:textId="77777777" w:rsidR="00A607A6" w:rsidRDefault="00A607A6">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145">
    <w:p>
      <w:pPr>
        <w:pStyle w:val="FootnoteText"/>
      </w:pPr>
      <w:r>
        <w:rPr>
          <w:rStyle w:val="FootnoteReference"/>
        </w:rPr>
        <w:footnoteRef/>
      </w:r>
      <w:r>
        <w:t xml:space="preserve"> </w:t>
      </w:r>
      <w:r>
        <w:t xml:space="preserve">Performed by the Service provider after production and before delivery to the EEA</w:t>
      </w:r>
    </w:p>
  </w:footnote>
  <w:footnote w:id="146">
    <w:p>
      <w:pPr>
        <w:pStyle w:val="FootnoteText"/>
      </w:pPr>
      <w:r>
        <w:rPr>
          <w:rStyle w:val="FootnoteReference"/>
        </w:rPr>
        <w:footnoteRef/>
      </w:r>
      <w:r>
        <w:t xml:space="preserve"> </w:t>
      </w:r>
      <w:r>
        <w:t xml:space="preserve">Performed by the Service provider after production and before delivery to the EEA</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CE807B7" w14:textId="18CFC91C" w:rsidR="00A607A6" w:rsidRDefault="00BA000A">
    <w:pPr>
      <w:pStyle w:val="Header"/>
      <w:rPr>
        <w:lang w:val="pl-PL"/>
      </w:rPr>
    </w:pPr>
    <w:r>
      <w:rPr>
        <w:noProof/>
      </w:rPr>
      <w:drawing>
        <wp:anchor distT="0" distB="0" distL="114300" distR="114300" simplePos="0" relativeHeight="251658240" behindDoc="1" locked="0" layoutInCell="1" allowOverlap="1" wp14:anchorId="4AAFC873" wp14:editId="3DA5D88C">
          <wp:simplePos x="0" y="0"/>
          <wp:positionH relativeFrom="column">
            <wp:posOffset>2916175</wp:posOffset>
          </wp:positionH>
          <wp:positionV relativeFrom="paragraph">
            <wp:posOffset>-152400</wp:posOffset>
          </wp:positionV>
          <wp:extent cx="1285200" cy="288000"/>
          <wp:effectExtent l="0" t="0" r="0" b="0"/>
          <wp:wrapTight wrapText="bothSides">
            <wp:wrapPolygon edited="0">
              <wp:start x="1068" y="0"/>
              <wp:lineTo x="0" y="1907"/>
              <wp:lineTo x="0" y="19073"/>
              <wp:lineTo x="1068" y="20980"/>
              <wp:lineTo x="3417" y="20980"/>
              <wp:lineTo x="21354" y="20980"/>
              <wp:lineTo x="21354" y="954"/>
              <wp:lineTo x="3417" y="0"/>
              <wp:lineTo x="1068" y="0"/>
            </wp:wrapPolygon>
          </wp:wrapTight>
          <wp:docPr id="1155348263" name="Image2" descr="A black background with yellow lette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2" descr="A black background with yellow letters&#10;&#10;AI-generated content may be incorrect."/>
                  <pic:cNvPicPr>
                    <a:picLocks noChangeAspect="1" noChangeArrowheads="1"/>
                  </pic:cNvPicPr>
                </pic:nvPicPr>
                <pic:blipFill>
                  <a:blip r:embed="rId1">
                    <a:extLst>
                      <a:ext uri="{28A0092B-C50C-407E-A947-70E740481C1C}">
                        <a14:useLocalDpi xmlns:a14="http://schemas.microsoft.com/office/drawing/2010/main" val="0"/>
                      </a:ext>
                    </a:extLst>
                  </a:blip>
                  <a:stretch>
                    <a:fillRect/>
                  </a:stretch>
                </pic:blipFill>
                <pic:spPr bwMode="auto">
                  <a:xfrm>
                    <a:off x="0" y="0"/>
                    <a:ext cx="1285200" cy="288000"/>
                  </a:xfrm>
                  <a:prstGeom prst="rect">
                    <a:avLst/>
                  </a:prstGeom>
                </pic:spPr>
              </pic:pic>
            </a:graphicData>
          </a:graphic>
          <wp14:sizeRelH relativeFrom="margin">
            <wp14:pctWidth>0</wp14:pctWidth>
          </wp14:sizeRelH>
          <wp14:sizeRelV relativeFrom="margin">
            <wp14:pctHeight>0</wp14:pctHeight>
          </wp14:sizeRelV>
        </wp:anchor>
      </w:drawing>
    </w:r>
    <w:r>
      <w:rPr>
        <w:noProof/>
        <w:lang w:val="pl-PL"/>
      </w:rPr>
      <w:drawing>
        <wp:anchor distT="0" distB="0" distL="114300" distR="114300" simplePos="0" relativeHeight="3" behindDoc="1" locked="0" layoutInCell="0" allowOverlap="1" wp14:anchorId="2339C8C7" wp14:editId="7AD843CB">
          <wp:simplePos x="0" y="0"/>
          <wp:positionH relativeFrom="margin">
            <wp:posOffset>-733425</wp:posOffset>
          </wp:positionH>
          <wp:positionV relativeFrom="margin">
            <wp:posOffset>-781050</wp:posOffset>
          </wp:positionV>
          <wp:extent cx="1955800" cy="622300"/>
          <wp:effectExtent l="0" t="0" r="0" b="0"/>
          <wp:wrapSquare wrapText="bothSides"/>
          <wp:docPr id="1" name="Picture 1" descr="A black background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A black background with white text&#10;&#10;AI-generated content may be incorrect."/>
                  <pic:cNvPicPr>
                    <a:picLocks noChangeAspect="1" noChangeArrowheads="1"/>
                  </pic:cNvPicPr>
                </pic:nvPicPr>
                <pic:blipFill>
                  <a:blip r:embed="rId2"/>
                  <a:stretch>
                    <a:fillRect/>
                  </a:stretch>
                </pic:blipFill>
                <pic:spPr bwMode="auto">
                  <a:xfrm>
                    <a:off x="0" y="0"/>
                    <a:ext cx="1955800" cy="622300"/>
                  </a:xfrm>
                  <a:prstGeom prst="rect">
                    <a:avLst/>
                  </a:prstGeom>
                </pic:spPr>
              </pic:pic>
            </a:graphicData>
          </a:graphic>
        </wp:anchor>
      </w:drawing>
    </w:r>
    <w:r>
      <w:rPr>
        <w:noProof/>
        <w:lang w:val="pl-PL"/>
      </w:rPr>
      <w:drawing>
        <wp:anchor distT="0" distB="0" distL="114300" distR="114300" simplePos="0" relativeHeight="5" behindDoc="1" locked="0" layoutInCell="0" allowOverlap="1" wp14:anchorId="55ADCA37" wp14:editId="07338969">
          <wp:simplePos x="0" y="0"/>
          <wp:positionH relativeFrom="margin">
            <wp:posOffset>1352550</wp:posOffset>
          </wp:positionH>
          <wp:positionV relativeFrom="margin">
            <wp:posOffset>-820420</wp:posOffset>
          </wp:positionV>
          <wp:extent cx="1143000" cy="698500"/>
          <wp:effectExtent l="0" t="0" r="0" b="0"/>
          <wp:wrapSquare wrapText="bothSides"/>
          <wp:docPr id="2" name="Picture 2" descr="A blue and yellow logo&#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descr="A blue and yellow logo&#10;&#10;AI-generated content may be incorrect."/>
                  <pic:cNvPicPr>
                    <a:picLocks noChangeAspect="1" noChangeArrowheads="1"/>
                  </pic:cNvPicPr>
                </pic:nvPicPr>
                <pic:blipFill>
                  <a:blip r:embed="rId3"/>
                  <a:stretch>
                    <a:fillRect/>
                  </a:stretch>
                </pic:blipFill>
                <pic:spPr bwMode="auto">
                  <a:xfrm>
                    <a:off x="0" y="0"/>
                    <a:ext cx="1143000" cy="698500"/>
                  </a:xfrm>
                  <a:prstGeom prst="rect">
                    <a:avLst/>
                  </a:prstGeom>
                </pic:spPr>
              </pic:pic>
            </a:graphicData>
          </a:graphic>
        </wp:anchor>
      </w:drawing>
    </w:r>
    <w:r>
      <w:rPr>
        <w:noProof/>
        <w:lang w:val="pl-PL"/>
      </w:rPr>
      <w:drawing>
        <wp:anchor distT="0" distB="0" distL="114300" distR="114300" simplePos="0" relativeHeight="7" behindDoc="1" locked="0" layoutInCell="0" allowOverlap="1" wp14:anchorId="5F2B240F" wp14:editId="63467143">
          <wp:simplePos x="0" y="0"/>
          <wp:positionH relativeFrom="margin">
            <wp:posOffset>5756275</wp:posOffset>
          </wp:positionH>
          <wp:positionV relativeFrom="margin">
            <wp:posOffset>-629920</wp:posOffset>
          </wp:positionV>
          <wp:extent cx="812800" cy="304800"/>
          <wp:effectExtent l="0" t="0" r="0" b="0"/>
          <wp:wrapSquare wrapText="bothSides"/>
          <wp:docPr id="3" name="Picture 4" descr="A blue flower on a black backgroun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4" descr="A blue flower on a black background&#10;&#10;AI-generated content may be incorrect."/>
                  <pic:cNvPicPr>
                    <a:picLocks noChangeAspect="1" noChangeArrowheads="1"/>
                  </pic:cNvPicPr>
                </pic:nvPicPr>
                <pic:blipFill>
                  <a:blip r:embed="rId4"/>
                  <a:stretch>
                    <a:fillRect/>
                  </a:stretch>
                </pic:blipFill>
                <pic:spPr bwMode="auto">
                  <a:xfrm>
                    <a:off x="0" y="0"/>
                    <a:ext cx="812800" cy="304800"/>
                  </a:xfrm>
                  <a:prstGeom prst="rect">
                    <a:avLst/>
                  </a:prstGeom>
                </pic:spPr>
              </pic:pic>
            </a:graphicData>
          </a:graphic>
        </wp:anchor>
      </w:drawing>
    </w: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3BE91498"/>
    <w:multiLevelType w:val="multilevel"/>
    <w:tmpl w:val="69B6CF8A"/>
    <w:lvl w:ilvl="0">
      <w:start w:val="1"/>
      <w:numFmt w:val="none"/>
      <w:suff w:val="nothing"/>
      <w:lvlText w:val=""/>
      <w:lvlJc w:val="left"/>
      <w:pPr>
        <w:tabs>
          <w:tab w:pos="0" w:val="num"/>
        </w:tabs>
        <w:ind w:firstLine="0" w:left="0"/>
      </w:pPr>
    </w:lvl>
    <w:lvl w:ilvl="1">
      <w:start w:val="1"/>
      <w:numFmt w:val="none"/>
      <w:suff w:val="nothing"/>
      <w:lvlText w:val=""/>
      <w:lvlJc w:val="left"/>
      <w:pPr>
        <w:tabs>
          <w:tab w:pos="0" w:val="num"/>
        </w:tabs>
        <w:ind w:firstLine="0" w:left="0"/>
      </w:pPr>
    </w:lvl>
    <w:lvl w:ilvl="2">
      <w:start w:val="1"/>
      <w:numFmt w:val="none"/>
      <w:suff w:val="nothing"/>
      <w:lvlText w:val=""/>
      <w:lvlJc w:val="left"/>
      <w:pPr>
        <w:tabs>
          <w:tab w:pos="0" w:val="num"/>
        </w:tabs>
        <w:ind w:firstLine="0" w:left="0"/>
      </w:pPr>
    </w:lvl>
    <w:lvl w:ilvl="3">
      <w:start w:val="1"/>
      <w:numFmt w:val="none"/>
      <w:suff w:val="nothing"/>
      <w:lvlText w:val=""/>
      <w:lvlJc w:val="left"/>
      <w:pPr>
        <w:tabs>
          <w:tab w:pos="0" w:val="num"/>
        </w:tabs>
        <w:ind w:firstLine="0" w:left="0"/>
      </w:pPr>
    </w:lvl>
    <w:lvl w:ilvl="4">
      <w:start w:val="1"/>
      <w:numFmt w:val="none"/>
      <w:suff w:val="nothing"/>
      <w:lvlText w:val=""/>
      <w:lvlJc w:val="left"/>
      <w:pPr>
        <w:tabs>
          <w:tab w:pos="0" w:val="num"/>
        </w:tabs>
        <w:ind w:firstLine="0" w:left="0"/>
      </w:pPr>
    </w:lvl>
    <w:lvl w:ilvl="5">
      <w:start w:val="1"/>
      <w:numFmt w:val="none"/>
      <w:suff w:val="nothing"/>
      <w:lvlText w:val=""/>
      <w:lvlJc w:val="left"/>
      <w:pPr>
        <w:tabs>
          <w:tab w:pos="0" w:val="num"/>
        </w:tabs>
        <w:ind w:firstLine="0" w:left="0"/>
      </w:pPr>
    </w:lvl>
    <w:lvl w:ilvl="6">
      <w:start w:val="1"/>
      <w:numFmt w:val="none"/>
      <w:suff w:val="nothing"/>
      <w:lvlText w:val=""/>
      <w:lvlJc w:val="left"/>
      <w:pPr>
        <w:tabs>
          <w:tab w:pos="0" w:val="num"/>
        </w:tabs>
        <w:ind w:firstLine="0" w:left="0"/>
      </w:pPr>
    </w:lvl>
    <w:lvl w:ilvl="7">
      <w:start w:val="1"/>
      <w:numFmt w:val="none"/>
      <w:suff w:val="nothing"/>
      <w:lvlText w:val=""/>
      <w:lvlJc w:val="left"/>
      <w:pPr>
        <w:tabs>
          <w:tab w:pos="0" w:val="num"/>
        </w:tabs>
        <w:ind w:firstLine="0" w:left="0"/>
      </w:pPr>
    </w:lvl>
    <w:lvl w:ilvl="8">
      <w:start w:val="1"/>
      <w:numFmt w:val="none"/>
      <w:suff w:val="nothing"/>
      <w:lvlText w:val=""/>
      <w:lvlJc w:val="left"/>
      <w:pPr>
        <w:tabs>
          <w:tab w:pos="0" w:val="num"/>
        </w:tabs>
        <w:ind w:firstLine="0" w:left="0"/>
      </w:pPr>
    </w:lvl>
  </w:abstractNum>
  <w:abstractNum w15:restartNumberingAfterBreak="0" w:abstractNumId="1">
    <w:nsid w:val="3CB4175F"/>
    <w:multiLevelType w:val="multilevel"/>
    <w:tmpl w:val="AD32D3DE"/>
    <w:lvl w:ilvl="0">
      <w:start w:val="1"/>
      <w:numFmt w:val="bullet"/>
      <w:pStyle w:val="ListBullet"/>
      <w:lvlText w:val=""/>
      <w:lvlJc w:val="left"/>
      <w:pPr>
        <w:tabs>
          <w:tab w:pos="360" w:val="num"/>
        </w:tabs>
        <w:ind w:hanging="360" w:left="360"/>
      </w:pPr>
      <w:rPr>
        <w:rFonts w:ascii="Symbol" w:cs="Symbol" w:hAnsi="Symbol" w:hint="default"/>
      </w:rPr>
    </w:lvl>
    <w:lvl w:ilvl="1">
      <w:start w:val="1"/>
      <w:numFmt w:val="decimal"/>
      <w:lvlText w:val="%2."/>
      <w:lvlJc w:val="left"/>
      <w:pPr>
        <w:tabs>
          <w:tab w:pos="1080" w:val="num"/>
        </w:tabs>
        <w:ind w:hanging="360" w:left="1080"/>
      </w:pPr>
    </w:lvl>
    <w:lvl w:ilvl="2">
      <w:start w:val="1"/>
      <w:numFmt w:val="decimal"/>
      <w:lvlText w:val="%3."/>
      <w:lvlJc w:val="left"/>
      <w:pPr>
        <w:tabs>
          <w:tab w:pos="1440" w:val="num"/>
        </w:tabs>
        <w:ind w:hanging="360" w:left="1440"/>
      </w:pPr>
    </w:lvl>
    <w:lvl w:ilvl="3">
      <w:start w:val="1"/>
      <w:numFmt w:val="decimal"/>
      <w:lvlText w:val="%4."/>
      <w:lvlJc w:val="left"/>
      <w:pPr>
        <w:tabs>
          <w:tab w:pos="1800" w:val="num"/>
        </w:tabs>
        <w:ind w:hanging="360" w:left="1800"/>
      </w:pPr>
    </w:lvl>
    <w:lvl w:ilvl="4">
      <w:start w:val="1"/>
      <w:numFmt w:val="decimal"/>
      <w:lvlText w:val="%5."/>
      <w:lvlJc w:val="left"/>
      <w:pPr>
        <w:tabs>
          <w:tab w:pos="2160" w:val="num"/>
        </w:tabs>
        <w:ind w:hanging="360" w:left="2160"/>
      </w:pPr>
    </w:lvl>
    <w:lvl w:ilvl="5">
      <w:start w:val="1"/>
      <w:numFmt w:val="decimal"/>
      <w:lvlText w:val="%6."/>
      <w:lvlJc w:val="left"/>
      <w:pPr>
        <w:tabs>
          <w:tab w:pos="2520" w:val="num"/>
        </w:tabs>
        <w:ind w:hanging="360" w:left="2520"/>
      </w:pPr>
    </w:lvl>
    <w:lvl w:ilvl="6">
      <w:start w:val="1"/>
      <w:numFmt w:val="decimal"/>
      <w:lvlText w:val="%7."/>
      <w:lvlJc w:val="left"/>
      <w:pPr>
        <w:tabs>
          <w:tab w:pos="2880" w:val="num"/>
        </w:tabs>
        <w:ind w:hanging="360" w:left="2880"/>
      </w:pPr>
    </w:lvl>
    <w:lvl w:ilvl="7">
      <w:start w:val="1"/>
      <w:numFmt w:val="decimal"/>
      <w:lvlText w:val="%8."/>
      <w:lvlJc w:val="left"/>
      <w:pPr>
        <w:tabs>
          <w:tab w:pos="3240" w:val="num"/>
        </w:tabs>
        <w:ind w:hanging="360" w:left="3240"/>
      </w:pPr>
    </w:lvl>
    <w:lvl w:ilvl="8">
      <w:start w:val="1"/>
      <w:numFmt w:val="decimal"/>
      <w:lvlText w:val="%9."/>
      <w:lvlJc w:val="left"/>
      <w:pPr>
        <w:tabs>
          <w:tab w:pos="3600" w:val="num"/>
        </w:tabs>
        <w:ind w:hanging="360" w:left="3600"/>
      </w:pPr>
    </w:lvl>
  </w:abstractNum>
  <w:abstractNum w15:restartNumberingAfterBreak="0" w:abstractNumId="2">
    <w:nsid w:val="420B644F"/>
    <w:multiLevelType w:val="hybridMultilevel"/>
    <w:tmpl w:val="0FB4DBA6"/>
    <w:lvl w:ilvl="0" w:tplc="08090001">
      <w:start w:val="1"/>
      <w:numFmt w:val="bullet"/>
      <w:lvlText w:val=""/>
      <w:lvlJc w:val="left"/>
      <w:pPr>
        <w:ind w:hanging="360" w:left="720"/>
      </w:pPr>
      <w:rPr>
        <w:rFonts w:ascii="Symbol" w:hAnsi="Symbol" w:hint="default"/>
      </w:rPr>
    </w:lvl>
    <w:lvl w:ilvl="1" w:tplc="08090003">
      <w:start w:val="1"/>
      <w:numFmt w:val="bullet"/>
      <w:lvlText w:val="o"/>
      <w:lvlJc w:val="left"/>
      <w:pPr>
        <w:ind w:hanging="360" w:left="1440"/>
      </w:pPr>
      <w:rPr>
        <w:rFonts w:ascii="Courier New" w:cs="Courier New" w:hAnsi="Courier New" w:hint="default"/>
      </w:rPr>
    </w:lvl>
    <w:lvl w:ilvl="2" w:tplc="08090005">
      <w:start w:val="1"/>
      <w:numFmt w:val="bullet"/>
      <w:lvlText w:val=""/>
      <w:lvlJc w:val="left"/>
      <w:pPr>
        <w:ind w:hanging="360" w:left="2160"/>
      </w:pPr>
      <w:rPr>
        <w:rFonts w:ascii="Wingdings" w:hAnsi="Wingdings" w:hint="default"/>
      </w:rPr>
    </w:lvl>
    <w:lvl w:ilvl="3" w:tplc="08090001">
      <w:start w:val="1"/>
      <w:numFmt w:val="bullet"/>
      <w:lvlText w:val=""/>
      <w:lvlJc w:val="left"/>
      <w:pPr>
        <w:ind w:hanging="360" w:left="2880"/>
      </w:pPr>
      <w:rPr>
        <w:rFonts w:ascii="Symbol" w:hAnsi="Symbol" w:hint="default"/>
      </w:rPr>
    </w:lvl>
    <w:lvl w:ilvl="4" w:tplc="08090003">
      <w:start w:val="1"/>
      <w:numFmt w:val="bullet"/>
      <w:lvlText w:val="o"/>
      <w:lvlJc w:val="left"/>
      <w:pPr>
        <w:ind w:hanging="360" w:left="3600"/>
      </w:pPr>
      <w:rPr>
        <w:rFonts w:ascii="Courier New" w:cs="Courier New" w:hAnsi="Courier New" w:hint="default"/>
      </w:rPr>
    </w:lvl>
    <w:lvl w:ilvl="5" w:tentative="1" w:tplc="08090005">
      <w:start w:val="1"/>
      <w:numFmt w:val="bullet"/>
      <w:lvlText w:val=""/>
      <w:lvlJc w:val="left"/>
      <w:pPr>
        <w:ind w:hanging="360" w:left="4320"/>
      </w:pPr>
      <w:rPr>
        <w:rFonts w:ascii="Wingdings" w:hAnsi="Wingdings" w:hint="default"/>
      </w:rPr>
    </w:lvl>
    <w:lvl w:ilvl="6" w:tentative="1" w:tplc="08090001">
      <w:start w:val="1"/>
      <w:numFmt w:val="bullet"/>
      <w:lvlText w:val=""/>
      <w:lvlJc w:val="left"/>
      <w:pPr>
        <w:ind w:hanging="360" w:left="5040"/>
      </w:pPr>
      <w:rPr>
        <w:rFonts w:ascii="Symbol" w:hAnsi="Symbol" w:hint="default"/>
      </w:rPr>
    </w:lvl>
    <w:lvl w:ilvl="7" w:tentative="1" w:tplc="08090003">
      <w:start w:val="1"/>
      <w:numFmt w:val="bullet"/>
      <w:lvlText w:val="o"/>
      <w:lvlJc w:val="left"/>
      <w:pPr>
        <w:ind w:hanging="360" w:left="5760"/>
      </w:pPr>
      <w:rPr>
        <w:rFonts w:ascii="Courier New" w:cs="Courier New" w:hAnsi="Courier New" w:hint="default"/>
      </w:rPr>
    </w:lvl>
    <w:lvl w:ilvl="8" w:tentative="1" w:tplc="08090005">
      <w:start w:val="1"/>
      <w:numFmt w:val="bullet"/>
      <w:lvlText w:val=""/>
      <w:lvlJc w:val="left"/>
      <w:pPr>
        <w:ind w:hanging="360" w:left="6480"/>
      </w:pPr>
      <w:rPr>
        <w:rFonts w:ascii="Wingdings" w:hAnsi="Wingdings"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711">
    <w:nsid w:val="00A9971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num w16cid:durableId="480391846" w:numId="1">
    <w:abstractNumId w:val="1"/>
  </w:num>
  <w:num w16cid:durableId="1146750534" w:numId="2">
    <w:abstractNumId w:val="0"/>
  </w:num>
  <w:num w16cid:durableId="988676320" w:numId="3">
    <w:abstractNumId w:val="2"/>
  </w: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51"/>
  <w:embedSystemFonts/>
  <w:proofState w:grammar="clean" w:spelling="clean"/>
  <w:stylePaneFormatFilter w:val="0004"/>
  <w:doNotTrackMoves/>
  <w:defaultTabStop w:val="720"/>
  <w:autoHyphenation/>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compatSetting w:name="compatibilityMode" w:uri="http://schemas.microsoft.com/office/word" w:val="12"/>
    <w:compatSetting w:name="useWord2013TrackBottomHyphenation" w:uri="http://schemas.microsoft.com/office/word" w:val="1"/>
  </w:compat>
  <w:rsids>
    <w:rsidRoot w:val="00A607A6"/>
    <w:rsid w:val="00012565"/>
    <w:rsid w:val="0006438A"/>
    <w:rsid w:val="0008506E"/>
    <w:rsid w:val="000856C2"/>
    <w:rsid w:val="000B3773"/>
    <w:rsid w:val="000B6273"/>
    <w:rsid w:val="000D31C5"/>
    <w:rsid w:val="00102253"/>
    <w:rsid w:val="00113702"/>
    <w:rsid w:val="0011490B"/>
    <w:rsid w:val="0013664F"/>
    <w:rsid w:val="0013762E"/>
    <w:rsid w:val="00143E90"/>
    <w:rsid w:val="00171491"/>
    <w:rsid w:val="0019680E"/>
    <w:rsid w:val="001D056B"/>
    <w:rsid w:val="00217C84"/>
    <w:rsid w:val="0028332B"/>
    <w:rsid w:val="002D136B"/>
    <w:rsid w:val="003356A6"/>
    <w:rsid w:val="003819BB"/>
    <w:rsid w:val="003A5BC7"/>
    <w:rsid w:val="003D039A"/>
    <w:rsid w:val="003D5EB0"/>
    <w:rsid w:val="00401E27"/>
    <w:rsid w:val="0040665F"/>
    <w:rsid w:val="004137DA"/>
    <w:rsid w:val="00454AB9"/>
    <w:rsid w:val="004B330C"/>
    <w:rsid w:val="004E6642"/>
    <w:rsid w:val="00537569"/>
    <w:rsid w:val="00552978"/>
    <w:rsid w:val="0055310D"/>
    <w:rsid w:val="0057261D"/>
    <w:rsid w:val="00572C60"/>
    <w:rsid w:val="00576E7F"/>
    <w:rsid w:val="0058219E"/>
    <w:rsid w:val="005C6846"/>
    <w:rsid w:val="005E3323"/>
    <w:rsid w:val="0060535E"/>
    <w:rsid w:val="006137BE"/>
    <w:rsid w:val="00674A43"/>
    <w:rsid w:val="006C4A27"/>
    <w:rsid w:val="006D1883"/>
    <w:rsid w:val="006D3C27"/>
    <w:rsid w:val="006F6002"/>
    <w:rsid w:val="00707278"/>
    <w:rsid w:val="00735F49"/>
    <w:rsid w:val="00744CFA"/>
    <w:rsid w:val="007877F6"/>
    <w:rsid w:val="00814130"/>
    <w:rsid w:val="008425BC"/>
    <w:rsid w:val="00843E48"/>
    <w:rsid w:val="008768AF"/>
    <w:rsid w:val="00894193"/>
    <w:rsid w:val="008A40CB"/>
    <w:rsid w:val="008C3CEA"/>
    <w:rsid w:val="008F083B"/>
    <w:rsid w:val="00996DC1"/>
    <w:rsid w:val="009D4D90"/>
    <w:rsid w:val="009E4254"/>
    <w:rsid w:val="009F621B"/>
    <w:rsid w:val="00A01A45"/>
    <w:rsid w:val="00A607A6"/>
    <w:rsid w:val="00A6721B"/>
    <w:rsid w:val="00AA04FC"/>
    <w:rsid w:val="00AA2A25"/>
    <w:rsid w:val="00AA587F"/>
    <w:rsid w:val="00AB4C0E"/>
    <w:rsid w:val="00AF2EB0"/>
    <w:rsid w:val="00AF542D"/>
    <w:rsid w:val="00AF77EE"/>
    <w:rsid w:val="00B4518E"/>
    <w:rsid w:val="00BA000A"/>
    <w:rsid w:val="00BA1B5E"/>
    <w:rsid w:val="00BB1466"/>
    <w:rsid w:val="00BC03D4"/>
    <w:rsid w:val="00C040FA"/>
    <w:rsid w:val="00C112C1"/>
    <w:rsid w:val="00C30ED0"/>
    <w:rsid w:val="00C55705"/>
    <w:rsid w:val="00C87DA0"/>
    <w:rsid w:val="00CA0BD3"/>
    <w:rsid w:val="00CA450E"/>
    <w:rsid w:val="00CB1018"/>
    <w:rsid w:val="00D02D50"/>
    <w:rsid w:val="00D3637D"/>
    <w:rsid w:val="00D532C3"/>
    <w:rsid w:val="00DA32BA"/>
    <w:rsid w:val="00DE277D"/>
    <w:rsid w:val="00E07DE1"/>
    <w:rsid w:val="00E51126"/>
    <w:rsid w:val="00E717D7"/>
    <w:rsid w:val="00E95F17"/>
    <w:rsid w:val="00EB1C91"/>
    <w:rsid w:val="00EB56D4"/>
    <w:rsid w:val="00EE2981"/>
    <w:rsid w:val="00F55097"/>
    <w:rsid w:val="00F96CF8"/>
    <w:rsid w:val="00FD5658"/>
  </w:rsids>
  <w:themeFontLang w:bidi="" w:eastAsia="" w:val="en-US"/>
  <w:clrSchemeMapping w:accent1="accent1" w:accent2="accent2" w:accent3="accent3" w:accent4="accent4" w:accent5="accent5" w:accent6="accent6" w:bg1="light1" w:bg2="light2" w:followedHyperlink="followedHyperlink" w:hyperlink="hyperlink" w:t1="dark1" w:t2="dark2"/>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uppressAutoHyphens/>
      </w:pPr>
    </w:pPrDefault>
  </w:docDefaults>
  <w:latentStyles w:count="376" w:defLockedState="0" w:defQFormat="0" w:defSemiHidden="0" w:defUIPriority="0" w:defUnhideWhenUsed="0">
    <w:lsdException w:name="toc 1" w:uiPriority="39"/>
    <w:lsdException w:name="footer" w:qFormat="1" w:uiPriority="99"/>
    <w:lsdException w:name="Hyperlink"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No Spacing" w:qFormat="1" w:uiPriority="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Subtle Reference" w:qFormat="1" w:uiPriority="3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FB7374"/>
    <w:pPr>
      <w:spacing w:after="200"/>
      <w:jc w:val="both"/>
    </w:pPr>
    <w:rPr>
      <w:rFonts w:ascii="Calibri" w:hAnsi="Calibri"/>
      <w:sz w:val="22"/>
    </w:rPr>
  </w:style>
  <w:style w:styleId="Heading1" w:type="paragraph">
    <w:name w:val="heading 1"/>
    <w:next w:val="BodyText"/>
    <w:link w:val="Heading1Char"/>
    <w:uiPriority w:val="9"/>
    <w:qFormat/>
    <w:rsid w:val="00FB7374"/>
    <w:pPr>
      <w:keepNext/>
      <w:keepLines/>
      <w:spacing w:after="80" w:before="360"/>
      <w:jc w:val="both"/>
      <w:outlineLvl w:val="0"/>
    </w:pPr>
    <w:rPr>
      <w:rFonts w:ascii="Arial" w:cstheme="majorBidi" w:eastAsiaTheme="majorEastAsia" w:hAnsi="Arial"/>
      <w:b/>
      <w:color w:val="004494"/>
      <w:sz w:val="40"/>
      <w:szCs w:val="40"/>
    </w:rPr>
  </w:style>
  <w:style w:styleId="Heading2" w:type="paragraph">
    <w:name w:val="heading 2"/>
    <w:next w:val="BodyText"/>
    <w:link w:val="Heading2Char"/>
    <w:uiPriority w:val="9"/>
    <w:unhideWhenUsed/>
    <w:qFormat/>
    <w:rsid w:val="00FB7374"/>
    <w:pPr>
      <w:keepNext/>
      <w:keepLines/>
      <w:spacing w:after="200" w:before="280"/>
      <w:outlineLvl w:val="1"/>
    </w:pPr>
    <w:rPr>
      <w:rFonts w:ascii="Arial" w:cstheme="majorBidi" w:eastAsiaTheme="majorEastAsia" w:hAnsi="Arial"/>
      <w:b/>
      <w:color w:val="004494"/>
      <w:sz w:val="28"/>
      <w:szCs w:val="32"/>
    </w:rPr>
  </w:style>
  <w:style w:styleId="Heading3" w:type="paragraph">
    <w:name w:val="heading 3"/>
    <w:next w:val="BodyText"/>
    <w:link w:val="Heading3Char"/>
    <w:uiPriority w:val="9"/>
    <w:semiHidden/>
    <w:unhideWhenUsed/>
    <w:qFormat/>
    <w:rsid w:val="00FB7374"/>
    <w:pPr>
      <w:keepNext/>
      <w:keepLines/>
      <w:spacing w:after="80" w:before="160"/>
      <w:jc w:val="both"/>
      <w:outlineLvl w:val="2"/>
    </w:pPr>
    <w:rPr>
      <w:rFonts w:ascii="Arial" w:cstheme="majorBidi" w:eastAsiaTheme="majorEastAsia" w:hAnsi="Arial"/>
      <w:b/>
      <w:i/>
      <w:color w:val="004494"/>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TitleChar" w:type="character">
    <w:name w:val="Title Char"/>
    <w:basedOn w:val="DefaultParagraphFont"/>
    <w:link w:val="Title"/>
    <w:uiPriority w:val="10"/>
    <w:qFormat/>
    <w:rsid w:val="005E3323"/>
    <w:rPr>
      <w:rFonts w:ascii="Arial" w:cstheme="majorBidi" w:eastAsiaTheme="majorEastAsia" w:hAnsi="Arial"/>
      <w:b/>
      <w:color w:val="004494"/>
      <w:spacing w:val="-10"/>
      <w:kern w:val="2"/>
      <w:sz w:val="56"/>
      <w:szCs w:val="56"/>
    </w:rPr>
  </w:style>
  <w:style w:customStyle="1" w:styleId="SubtitleChar" w:type="character">
    <w:name w:val="Subtitle Char"/>
    <w:basedOn w:val="DefaultParagraphFont"/>
    <w:link w:val="Subtitle"/>
    <w:uiPriority w:val="11"/>
    <w:qFormat/>
    <w:rsid w:val="00BA000A"/>
    <w:rPr>
      <w:rFonts w:ascii="Arial" w:cstheme="majorBidi" w:eastAsiaTheme="majorEastAsia" w:hAnsi="Arial"/>
      <w:color w:val="004494"/>
      <w:spacing w:val="15"/>
      <w:kern w:val="2"/>
      <w:sz w:val="40"/>
      <w:szCs w:val="28"/>
    </w:rPr>
  </w:style>
  <w:style w:customStyle="1" w:styleId="Heading1Char" w:type="character">
    <w:name w:val="Heading 1 Char"/>
    <w:basedOn w:val="DefaultParagraphFont"/>
    <w:link w:val="Heading1"/>
    <w:uiPriority w:val="9"/>
    <w:qFormat/>
    <w:rsid w:val="00FB7374"/>
    <w:rPr>
      <w:rFonts w:ascii="Arial" w:cstheme="majorBidi" w:eastAsiaTheme="majorEastAsia" w:hAnsi="Arial"/>
      <w:b/>
      <w:color w:val="004494"/>
      <w:sz w:val="40"/>
      <w:szCs w:val="40"/>
    </w:rPr>
  </w:style>
  <w:style w:customStyle="1" w:styleId="Heading2Char" w:type="character">
    <w:name w:val="Heading 2 Char"/>
    <w:basedOn w:val="DefaultParagraphFont"/>
    <w:link w:val="Heading2"/>
    <w:uiPriority w:val="9"/>
    <w:qFormat/>
    <w:rsid w:val="00FB7374"/>
    <w:rPr>
      <w:rFonts w:ascii="Arial" w:cstheme="majorBidi" w:eastAsiaTheme="majorEastAsia" w:hAnsi="Arial"/>
      <w:b/>
      <w:color w:val="004494"/>
      <w:sz w:val="28"/>
      <w:szCs w:val="32"/>
    </w:rPr>
  </w:style>
  <w:style w:customStyle="1" w:styleId="Heading3Char" w:type="character">
    <w:name w:val="Heading 3 Char"/>
    <w:basedOn w:val="DefaultParagraphFont"/>
    <w:link w:val="Heading3"/>
    <w:uiPriority w:val="9"/>
    <w:semiHidden/>
    <w:qFormat/>
    <w:rsid w:val="00FB7374"/>
    <w:rPr>
      <w:rFonts w:ascii="Arial" w:cstheme="majorBidi" w:eastAsiaTheme="majorEastAsia" w:hAnsi="Arial"/>
      <w:b/>
      <w:i/>
      <w:color w:val="004494"/>
      <w:szCs w:val="28"/>
    </w:rPr>
  </w:style>
  <w:style w:customStyle="1" w:styleId="Heading4Char" w:type="character">
    <w:name w:val="Heading 4 Char"/>
    <w:basedOn w:val="DefaultParagraphFont"/>
    <w:link w:val="Heading4"/>
    <w:uiPriority w:val="9"/>
    <w:semiHidden/>
    <w:qFormat/>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qFormat/>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qFormat/>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qFormat/>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qFormat/>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qFormat/>
    <w:rsid w:val="00A10FD9"/>
    <w:rPr>
      <w:rFonts w:cstheme="majorBidi" w:eastAsiaTheme="majorEastAsia"/>
      <w:color w:themeColor="text1" w:themeTint="D8" w:val="272727"/>
    </w:rPr>
  </w:style>
  <w:style w:customStyle="1" w:styleId="CaptionChar" w:type="character">
    <w:name w:val="Caption Char"/>
    <w:basedOn w:val="DefaultParagraphFont"/>
    <w:link w:val="Caption"/>
    <w:qFormat/>
  </w:style>
  <w:style w:customStyle="1" w:styleId="VerbatimChar" w:type="character">
    <w:name w:val="Verbatim Char"/>
    <w:basedOn w:val="CaptionChar"/>
    <w:qFormat/>
    <w:rsid w:val="00C07A0D"/>
    <w:rPr>
      <w:rFonts w:ascii="Consolas" w:hAnsi="Consolas"/>
      <w:sz w:val="18"/>
    </w:rPr>
  </w:style>
  <w:style w:customStyle="1" w:styleId="SectionNumber" w:type="character">
    <w:name w:val="Section Number"/>
    <w:basedOn w:val="CaptionChar"/>
    <w:qFormat/>
  </w:style>
  <w:style w:customStyle="1" w:styleId="FootnoteCharacters" w:type="character">
    <w:name w:val="Footnote Characters"/>
    <w:qFormat/>
    <w:rPr>
      <w:vertAlign w:val="superscript"/>
    </w:rPr>
  </w:style>
  <w:style w:styleId="FootnoteReference" w:type="character">
    <w:name w:val="footnote reference"/>
    <w:rPr>
      <w:vertAlign w:val="superscript"/>
    </w:rPr>
  </w:style>
  <w:style w:styleId="Hyperlink" w:type="character">
    <w:name w:val="Hyperlink"/>
    <w:basedOn w:val="CaptionChar"/>
    <w:uiPriority w:val="99"/>
    <w:rsid w:val="00D71D2A"/>
    <w:rPr>
      <w:rFonts w:ascii="Calibri" w:hAnsi="Calibri"/>
      <w:b w:val="0"/>
      <w:i w:val="0"/>
      <w:color w:val="605C9F"/>
      <w:sz w:val="22"/>
      <w:u w:val="single"/>
    </w:rPr>
  </w:style>
  <w:style w:customStyle="1" w:styleId="HeaderChar" w:type="character">
    <w:name w:val="Header Char"/>
    <w:basedOn w:val="DefaultParagraphFont"/>
    <w:link w:val="Header"/>
    <w:qFormat/>
    <w:rsid w:val="00264FAF"/>
  </w:style>
  <w:style w:customStyle="1" w:styleId="FooterChar" w:type="character">
    <w:name w:val="Footer Char"/>
    <w:basedOn w:val="DefaultParagraphFont"/>
    <w:link w:val="Footer"/>
    <w:uiPriority w:val="99"/>
    <w:qFormat/>
    <w:rsid w:val="00264FAF"/>
    <w:rPr>
      <w:rFonts w:ascii="Calibri" w:hAnsi="Calibri"/>
      <w:color w:themeColor="text1" w:themeTint="BF" w:val="404040"/>
      <w:sz w:val="22"/>
    </w:rPr>
  </w:style>
  <w:style w:styleId="PageNumber" w:type="character">
    <w:name w:val="page number"/>
    <w:basedOn w:val="DefaultParagraphFont"/>
    <w:qFormat/>
    <w:rsid w:val="0041171E"/>
    <w:rPr>
      <w:rFonts w:ascii="Calibri" w:hAnsi="Calibri"/>
      <w:b w:val="0"/>
      <w:i w:val="0"/>
      <w:sz w:val="16"/>
    </w:rPr>
  </w:style>
  <w:style w:customStyle="1" w:styleId="BoldRowText" w:type="character">
    <w:name w:val="BoldRowText"/>
    <w:uiPriority w:val="1"/>
    <w:qFormat/>
    <w:rsid w:val="001539EA"/>
    <w:rPr>
      <w:rFonts w:ascii="Arial" w:hAnsi="Arial"/>
      <w:b/>
      <w:i w:val="0"/>
      <w:color w:val="004B7F"/>
      <w:sz w:val="18"/>
    </w:rPr>
  </w:style>
  <w:style w:customStyle="1" w:styleId="NoSpacingChar" w:type="character">
    <w:name w:val="No Spacing Char"/>
    <w:basedOn w:val="DefaultParagraphFont"/>
    <w:link w:val="NoSpacing"/>
    <w:uiPriority w:val="1"/>
    <w:qFormat/>
    <w:rsid w:val="002E2E2A"/>
    <w:rPr>
      <w:rFonts w:eastAsiaTheme="minorEastAsia"/>
      <w:sz w:val="22"/>
      <w:szCs w:val="22"/>
      <w:lang w:eastAsia="zh-CN"/>
    </w:rPr>
  </w:style>
  <w:style w:customStyle="1" w:styleId="yellow-box-line" w:type="character">
    <w:name w:val="yellow-box-line"/>
    <w:uiPriority w:val="1"/>
    <w:qFormat/>
    <w:rsid w:val="004115E5"/>
    <w:rPr>
      <w:shd w:color="auto" w:fill="FFFF00" w:val="clear"/>
    </w:rPr>
  </w:style>
  <w:style w:customStyle="1" w:styleId="grey-box-line" w:type="character">
    <w:name w:val="grey-box-line"/>
    <w:uiPriority w:val="1"/>
    <w:qFormat/>
    <w:rsid w:val="00B52104"/>
    <w:rPr>
      <w:shd w:color="auto" w:fill="D1D1D1" w:val="clear"/>
    </w:rPr>
  </w:style>
  <w:style w:styleId="SubtleReference" w:type="character">
    <w:name w:val="Subtle Reference"/>
    <w:uiPriority w:val="31"/>
    <w:qFormat/>
    <w:rsid w:val="006B0B44"/>
    <w:rPr>
      <w:rFonts w:asciiTheme="minorHAnsi" w:hAnsiTheme="minorHAnsi"/>
      <w:caps w:val="0"/>
      <w:smallCaps w:val="0"/>
      <w:strike w:val="0"/>
      <w:dstrike w:val="0"/>
      <w:vanish w:val="0"/>
      <w:color w:val="auto"/>
      <w:sz w:val="22"/>
      <w:szCs w:val="24"/>
    </w:rPr>
  </w:style>
  <w:style w:customStyle="1" w:styleId="IndexLink" w:type="character">
    <w:name w:val="Index Link"/>
    <w:qFormat/>
  </w:style>
  <w:style w:customStyle="1" w:styleId="EndnoteCharacters" w:type="character">
    <w:name w:val="Endnote Characters"/>
    <w:qFormat/>
    <w:rPr>
      <w:vertAlign w:val="superscript"/>
    </w:rPr>
  </w:style>
  <w:style w:styleId="EndnoteReference" w:type="character">
    <w:name w:val="endnote reference"/>
    <w:rPr>
      <w:vertAlign w:val="superscript"/>
    </w:rPr>
  </w:style>
  <w:style w:customStyle="1" w:styleId="blue-box-line" w:type="character">
    <w:name w:val="blue-box-line"/>
    <w:uiPriority w:val="1"/>
    <w:qFormat/>
    <w:rsid w:val="002E38CC"/>
    <w:rPr>
      <w:shd w:color="auto" w:fill="C1E5F5" w:val="clear"/>
    </w:rPr>
  </w:style>
  <w:style w:customStyle="1" w:styleId="Heading" w:type="paragraph">
    <w:name w:val="Heading"/>
    <w:basedOn w:val="Normal"/>
    <w:next w:val="BodyText"/>
    <w:qFormat/>
    <w:pPr>
      <w:keepNext/>
      <w:spacing w:after="120" w:before="240"/>
    </w:pPr>
    <w:rPr>
      <w:rFonts w:ascii="Liberation Sans" w:cs="Arial Unicode MS" w:eastAsia="PingFang SC" w:hAnsi="Liberation Sans"/>
      <w:sz w:val="28"/>
      <w:szCs w:val="28"/>
    </w:rPr>
  </w:style>
  <w:style w:styleId="BodyText" w:type="paragraph">
    <w:name w:val="Body Text"/>
    <w:basedOn w:val="Normal"/>
    <w:qFormat/>
    <w:rsid w:val="00C016A0"/>
    <w:pPr>
      <w:spacing w:after="180" w:before="180"/>
    </w:pPr>
    <w:rPr>
      <w:rFonts w:cs="Times New Roman (Body CS)"/>
    </w:rPr>
  </w:style>
  <w:style w:styleId="List" w:type="paragraph">
    <w:name w:val="List"/>
    <w:basedOn w:val="BodyText"/>
    <w:rPr>
      <w:rFonts w:cs="Arial Unicode MS"/>
    </w:rPr>
  </w:style>
  <w:style w:styleId="Caption" w:type="paragraph">
    <w:name w:val="caption"/>
    <w:basedOn w:val="Normal"/>
    <w:link w:val="CaptionChar"/>
    <w:qFormat/>
    <w:pPr>
      <w:spacing w:after="120"/>
    </w:pPr>
    <w:rPr>
      <w:i/>
    </w:rPr>
  </w:style>
  <w:style w:customStyle="1" w:styleId="Index" w:type="paragraph">
    <w:name w:val="Index"/>
    <w:basedOn w:val="Normal"/>
    <w:qFormat/>
    <w:pPr>
      <w:suppressLineNumbers/>
    </w:pPr>
    <w:rPr>
      <w:rFonts w:cs="Arial Unicode MS"/>
    </w:rPr>
  </w:style>
  <w:style w:customStyle="1" w:styleId="FirstParagraph" w:type="paragraph">
    <w:name w:val="First Paragraph"/>
    <w:basedOn w:val="BodyText"/>
    <w:next w:val="BodyText"/>
    <w:qFormat/>
    <w:rsid w:val="00654313"/>
  </w:style>
  <w:style w:customStyle="1" w:styleId="Compact" w:type="paragraph">
    <w:name w:val="Compact"/>
    <w:basedOn w:val="BodyText"/>
    <w:qFormat/>
    <w:rsid w:val="00B07C53"/>
    <w:pPr>
      <w:spacing w:after="36" w:before="36"/>
      <w:jc w:val="left"/>
    </w:pPr>
    <w:rPr>
      <w:sz w:val="18"/>
    </w:rPr>
  </w:style>
  <w:style w:styleId="Title" w:type="paragraph">
    <w:name w:val="Title"/>
    <w:basedOn w:val="Normal"/>
    <w:next w:val="BodyText"/>
    <w:link w:val="TitleChar"/>
    <w:uiPriority w:val="10"/>
    <w:qFormat/>
    <w:rsid w:val="005E3323"/>
    <w:pPr>
      <w:spacing w:after="1360"/>
      <w:jc w:val="center"/>
    </w:pPr>
    <w:rPr>
      <w:rFonts w:ascii="Arial" w:cstheme="majorBidi" w:eastAsiaTheme="majorEastAsia" w:hAnsi="Arial"/>
      <w:b/>
      <w:color w:val="004494"/>
      <w:spacing w:val="-10"/>
      <w:kern w:val="2"/>
      <w:sz w:val="56"/>
      <w:szCs w:val="56"/>
    </w:rPr>
  </w:style>
  <w:style w:styleId="Subtitle" w:type="paragraph">
    <w:name w:val="Subtitle"/>
    <w:basedOn w:val="Title"/>
    <w:next w:val="BodyText"/>
    <w:link w:val="SubtitleChar"/>
    <w:uiPriority w:val="11"/>
    <w:qFormat/>
    <w:rsid w:val="00BA000A"/>
    <w:rPr>
      <w:b w:val="0"/>
      <w:spacing w:val="15"/>
      <w:sz w:val="40"/>
      <w:szCs w:val="28"/>
    </w:rPr>
  </w:style>
  <w:style w:customStyle="1" w:styleId="Author" w:type="paragraph">
    <w:name w:val="Author"/>
    <w:next w:val="BodyText"/>
    <w:qFormat/>
    <w:rsid w:val="009F621B"/>
    <w:pPr>
      <w:keepNext/>
      <w:keepLines/>
      <w:spacing w:after="200"/>
    </w:pPr>
    <w:rPr>
      <w:rFonts w:ascii="Arial" w:hAnsi="Arial"/>
      <w:b/>
      <w:color w:themeColor="background1" w:val="FFFFFF"/>
      <w:sz w:val="22"/>
    </w:rPr>
  </w:style>
  <w:style w:styleId="Date" w:type="paragraph">
    <w:name w:val="Date"/>
    <w:next w:val="BodyText"/>
    <w:qFormat/>
    <w:rsid w:val="00000B11"/>
    <w:pPr>
      <w:keepNext/>
      <w:keepLines/>
      <w:spacing w:after="200"/>
      <w:jc w:val="both"/>
    </w:pPr>
    <w:rPr>
      <w:rFonts w:ascii="Calibri" w:cs="Aptos (Body CS)" w:eastAsia="Aptos" w:hAnsi="Calibri"/>
      <w:b/>
      <w:color w:themeColor="background1" w:val="FFFFFF"/>
      <w:sz w:val="22"/>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rsid w:val="008D5815"/>
    <w:pPr>
      <w:keepNext/>
      <w:keepLines/>
      <w:spacing w:after="300" w:before="100"/>
    </w:pPr>
    <w:rPr>
      <w:sz w:val="20"/>
      <w:szCs w:val="20"/>
    </w:rPr>
  </w:style>
  <w:style w:styleId="Bibliography" w:type="paragraph">
    <w:name w:val="Bibliography"/>
    <w:basedOn w:val="Normal"/>
    <w:qFormat/>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rsid w:val="00000252"/>
    <w:pPr>
      <w:jc w:val="left"/>
    </w:pPr>
    <w:rPr>
      <w:sz w:val="16"/>
    </w:rPr>
  </w:style>
  <w:style w:customStyle="1" w:styleId="FootnoteBlockText" w:type="paragraph">
    <w:name w:val="Footnote Block Text"/>
    <w:basedOn w:val="FootnoteText"/>
    <w:next w:val="FootnoteText"/>
    <w:uiPriority w:val="9"/>
    <w:unhideWhenUsed/>
    <w:qFormat/>
    <w:pPr>
      <w:spacing w:after="100" w:before="100"/>
      <w:ind w:left="480" w:right="480"/>
    </w:pPr>
  </w:style>
  <w:style w:customStyle="1" w:styleId="DefinitionTerm" w:type="paragraph">
    <w:name w:val="Definition Term"/>
    <w:next w:val="Normal"/>
    <w:qFormat/>
    <w:rsid w:val="00BA5F44"/>
    <w:pPr>
      <w:keepNext/>
      <w:keepLines/>
    </w:pPr>
    <w:rPr>
      <w:rFonts w:ascii="Arial" w:eastAsia="Aptos" w:hAnsi="Arial"/>
      <w:b/>
      <w:color w:val="004494"/>
      <w:sz w:val="18"/>
    </w:rPr>
  </w:style>
  <w:style w:customStyle="1" w:styleId="Definition" w:type="paragraph">
    <w:name w:val="Definition"/>
    <w:basedOn w:val="Normal"/>
    <w:qFormat/>
  </w:style>
  <w:style w:customStyle="1" w:styleId="TableCaption" w:type="paragraph">
    <w:name w:val="Table Caption"/>
    <w:basedOn w:val="Caption"/>
    <w:qFormat/>
    <w:rsid w:val="007F1B59"/>
    <w:pPr>
      <w:keepNext/>
    </w:pPr>
    <w:rPr>
      <w:rFonts w:ascii="Arial" w:hAnsi="Arial"/>
      <w:b/>
      <w:i w:val="0"/>
      <w:color w:val="004494"/>
      <w:sz w:val="19"/>
    </w:rPr>
  </w:style>
  <w:style w:customStyle="1" w:styleId="ImageCaption" w:type="paragraph">
    <w:name w:val="Image Caption"/>
    <w:basedOn w:val="Caption"/>
    <w:qFormat/>
    <w:rsid w:val="00302AC7"/>
    <w:pPr>
      <w:spacing w:after="360" w:before="240"/>
    </w:pPr>
    <w:rPr>
      <w:i w:val="0"/>
      <w:color w:val="3E6893"/>
    </w:rPr>
  </w:style>
  <w:style w:customStyle="1" w:styleId="Figure" w:type="paragraph">
    <w:name w:val="Figure"/>
    <w:basedOn w:val="Normal"/>
    <w:qFormat/>
  </w:style>
  <w:style w:customStyle="1" w:styleId="CaptionedFigure" w:type="paragraph">
    <w:name w:val="Captioned Figure"/>
    <w:basedOn w:val="Figure"/>
    <w:qFormat/>
    <w:pPr>
      <w:keepNext/>
    </w:pPr>
  </w:style>
  <w:style w:styleId="IndexHeading" w:type="paragraph">
    <w:name w:val="index heading"/>
    <w:basedOn w:val="Heading"/>
  </w:style>
  <w:style w:styleId="TOCHeading" w:type="paragraph">
    <w:name w:val="TOC Heading"/>
    <w:basedOn w:val="Heading1"/>
    <w:next w:val="BodyText"/>
    <w:uiPriority w:val="39"/>
    <w:unhideWhenUsed/>
    <w:qFormat/>
    <w:rsid w:val="00AA2A25"/>
    <w:pPr>
      <w:pageBreakBefore/>
      <w:spacing w:after="480" w:before="240" w:line="259" w:lineRule="auto"/>
      <w:outlineLvl w:val="9"/>
    </w:pPr>
  </w:style>
  <w:style w:styleId="ListBullet" w:type="paragraph">
    <w:name w:val="List Bullet"/>
    <w:basedOn w:val="Normal"/>
    <w:qFormat/>
    <w:rsid w:val="008D5815"/>
    <w:pPr>
      <w:numPr>
        <w:numId w:val="1"/>
      </w:numPr>
      <w:contextualSpacing/>
    </w:pPr>
  </w:style>
  <w:style w:customStyle="1" w:styleId="HeaderandFooter" w:type="paragraph">
    <w:name w:val="Header and Footer"/>
    <w:basedOn w:val="Normal"/>
    <w:qFormat/>
  </w:style>
  <w:style w:styleId="Header" w:type="paragraph">
    <w:name w:val="header"/>
    <w:basedOn w:val="Normal"/>
    <w:link w:val="HeaderChar"/>
    <w:rsid w:val="00264FAF"/>
    <w:pPr>
      <w:tabs>
        <w:tab w:pos="4513" w:val="center"/>
        <w:tab w:pos="9026" w:val="right"/>
      </w:tabs>
      <w:spacing w:after="0"/>
    </w:pPr>
  </w:style>
  <w:style w:styleId="Footer" w:type="paragraph">
    <w:name w:val="footer"/>
    <w:basedOn w:val="Normal"/>
    <w:link w:val="FooterChar"/>
    <w:uiPriority w:val="99"/>
    <w:qFormat/>
    <w:rsid w:val="00264FAF"/>
    <w:pPr>
      <w:tabs>
        <w:tab w:pos="4513" w:val="center"/>
        <w:tab w:pos="9026" w:val="right"/>
      </w:tabs>
      <w:spacing w:after="0"/>
    </w:pPr>
    <w:rPr>
      <w:color w:themeColor="text1" w:themeTint="BF" w:val="404040"/>
    </w:rPr>
  </w:style>
  <w:style w:customStyle="1" w:styleId="SourceCode" w:type="paragraph">
    <w:name w:val="Source Code"/>
    <w:qFormat/>
    <w:rsid w:val="00FC1628"/>
    <w:pPr>
      <w:spacing w:after="200"/>
      <w:jc w:val="both"/>
    </w:pPr>
    <w:rPr>
      <w:rFonts w:ascii="Consolas" w:hAnsi="Consolas"/>
      <w:sz w:val="18"/>
    </w:rPr>
  </w:style>
  <w:style w:customStyle="1" w:styleId="Verbatimchar0" w:type="paragraph">
    <w:name w:val="Verbatim char"/>
    <w:basedOn w:val="SourceCode"/>
    <w:qFormat/>
    <w:rsid w:val="00C07A0D"/>
  </w:style>
  <w:style w:styleId="NoSpacing" w:type="paragraph">
    <w:name w:val="No Spacing"/>
    <w:link w:val="NoSpacingChar"/>
    <w:uiPriority w:val="1"/>
    <w:qFormat/>
    <w:rsid w:val="002E2E2A"/>
    <w:rPr>
      <w:rFonts w:ascii="Aptos" w:eastAsiaTheme="minorEastAsia" w:hAnsi="Aptos"/>
      <w:sz w:val="22"/>
      <w:szCs w:val="22"/>
      <w:lang w:eastAsia="zh-CN"/>
    </w:rPr>
  </w:style>
  <w:style w:customStyle="1" w:styleId="grey-box" w:type="paragraph">
    <w:name w:val="grey-box"/>
    <w:qFormat/>
    <w:rsid w:val="00765130"/>
    <w:pPr>
      <w:shd w:color="auto" w:fill="D1D1D1" w:themeFill="background2" w:themeFillShade="E6" w:val="clear"/>
      <w:spacing w:after="200"/>
    </w:pPr>
    <w:rPr>
      <w:rFonts w:ascii="Calibri" w:hAnsi="Calibri"/>
      <w:sz w:val="22"/>
    </w:rPr>
  </w:style>
  <w:style w:customStyle="1" w:styleId="yellow-box" w:type="paragraph">
    <w:name w:val="yellow-box"/>
    <w:qFormat/>
    <w:rsid w:val="004115E5"/>
    <w:pPr>
      <w:shd w:color="auto" w:fill="FFFF00" w:val="clear"/>
      <w:spacing w:after="200"/>
    </w:pPr>
    <w:rPr>
      <w:rFonts w:ascii="Calibri" w:hAnsi="Calibri"/>
      <w:sz w:val="22"/>
    </w:rPr>
  </w:style>
  <w:style w:customStyle="1" w:styleId="blue-box" w:type="paragraph">
    <w:name w:val="blue-box"/>
    <w:qFormat/>
    <w:rsid w:val="008E49A8"/>
    <w:pPr>
      <w:shd w:color="auto" w:fill="C1E4F5" w:themeFill="accent1" w:themeFillTint="33" w:val="clear"/>
      <w:spacing w:after="200"/>
    </w:pPr>
    <w:rPr>
      <w:rFonts w:ascii="Calibri" w:hAnsi="Calibri"/>
      <w:sz w:val="22"/>
    </w:rPr>
  </w:style>
  <w:style w:styleId="TOC1" w:type="paragraph">
    <w:name w:val="toc 1"/>
    <w:basedOn w:val="Normal"/>
    <w:next w:val="Normal"/>
    <w:autoRedefine/>
    <w:uiPriority w:val="39"/>
    <w:rsid w:val="00767625"/>
    <w:pPr>
      <w:spacing w:after="0" w:before="120"/>
      <w:jc w:val="left"/>
    </w:pPr>
    <w:rPr>
      <w:rFonts w:ascii="Arial" w:hAnsi="Arial"/>
      <w:bCs/>
      <w:iCs/>
    </w:rPr>
  </w:style>
  <w:style w:styleId="TOC2" w:type="paragraph">
    <w:name w:val="toc 2"/>
    <w:basedOn w:val="Normal"/>
    <w:next w:val="Normal"/>
    <w:autoRedefine/>
    <w:rsid w:val="00767625"/>
    <w:pPr>
      <w:spacing w:after="0" w:before="120"/>
      <w:ind w:left="220"/>
      <w:jc w:val="left"/>
    </w:pPr>
    <w:rPr>
      <w:rFonts w:ascii="Arial" w:hAnsi="Arial"/>
      <w:bCs/>
      <w:szCs w:val="22"/>
    </w:rPr>
  </w:style>
  <w:style w:styleId="TOC3" w:type="paragraph">
    <w:name w:val="toc 3"/>
    <w:basedOn w:val="Normal"/>
    <w:next w:val="Normal"/>
    <w:autoRedefine/>
    <w:rsid w:val="00767625"/>
    <w:pPr>
      <w:spacing w:after="0"/>
      <w:ind w:left="440"/>
      <w:jc w:val="left"/>
    </w:pPr>
    <w:rPr>
      <w:rFonts w:ascii="Arial" w:hAnsi="Arial"/>
      <w:szCs w:val="20"/>
    </w:rPr>
  </w:style>
  <w:style w:styleId="TOC4" w:type="paragraph">
    <w:name w:val="toc 4"/>
    <w:basedOn w:val="Normal"/>
    <w:next w:val="Normal"/>
    <w:autoRedefine/>
    <w:rsid w:val="00767625"/>
    <w:pPr>
      <w:spacing w:after="0"/>
      <w:ind w:left="660"/>
      <w:jc w:val="left"/>
    </w:pPr>
    <w:rPr>
      <w:rFonts w:ascii="Arial" w:hAnsi="Arial"/>
      <w:szCs w:val="20"/>
    </w:rPr>
  </w:style>
  <w:style w:styleId="TOC5" w:type="paragraph">
    <w:name w:val="toc 5"/>
    <w:basedOn w:val="Normal"/>
    <w:next w:val="Normal"/>
    <w:autoRedefine/>
    <w:rsid w:val="00767625"/>
    <w:pPr>
      <w:spacing w:after="0"/>
      <w:ind w:left="880"/>
      <w:jc w:val="left"/>
    </w:pPr>
    <w:rPr>
      <w:rFonts w:ascii="Arial" w:hAnsi="Arial"/>
      <w:szCs w:val="20"/>
    </w:rPr>
  </w:style>
  <w:style w:styleId="TOC6" w:type="paragraph">
    <w:name w:val="toc 6"/>
    <w:basedOn w:val="Normal"/>
    <w:next w:val="Normal"/>
    <w:autoRedefine/>
    <w:rsid w:val="00674ECF"/>
    <w:pPr>
      <w:spacing w:after="0"/>
      <w:ind w:left="1100"/>
      <w:jc w:val="left"/>
    </w:pPr>
    <w:rPr>
      <w:szCs w:val="20"/>
    </w:rPr>
  </w:style>
  <w:style w:styleId="TOC7" w:type="paragraph">
    <w:name w:val="toc 7"/>
    <w:basedOn w:val="Normal"/>
    <w:next w:val="Normal"/>
    <w:autoRedefine/>
    <w:rsid w:val="00731B35"/>
    <w:pPr>
      <w:spacing w:after="0"/>
      <w:ind w:left="1320"/>
      <w:jc w:val="left"/>
    </w:pPr>
    <w:rPr>
      <w:rFonts w:asciiTheme="minorHAnsi" w:hAnsiTheme="minorHAnsi"/>
      <w:sz w:val="20"/>
      <w:szCs w:val="20"/>
    </w:rPr>
  </w:style>
  <w:style w:styleId="TOC8" w:type="paragraph">
    <w:name w:val="toc 8"/>
    <w:basedOn w:val="Normal"/>
    <w:next w:val="Normal"/>
    <w:autoRedefine/>
    <w:rsid w:val="00731B35"/>
    <w:pPr>
      <w:spacing w:after="0"/>
      <w:ind w:left="1540"/>
      <w:jc w:val="left"/>
    </w:pPr>
    <w:rPr>
      <w:rFonts w:asciiTheme="minorHAnsi" w:hAnsiTheme="minorHAnsi"/>
      <w:sz w:val="20"/>
      <w:szCs w:val="20"/>
    </w:rPr>
  </w:style>
  <w:style w:styleId="TOC9" w:type="paragraph">
    <w:name w:val="toc 9"/>
    <w:basedOn w:val="Normal"/>
    <w:next w:val="Normal"/>
    <w:autoRedefine/>
    <w:rsid w:val="00731B35"/>
    <w:pPr>
      <w:spacing w:after="0"/>
      <w:ind w:left="1760"/>
      <w:jc w:val="left"/>
    </w:pPr>
    <w:rPr>
      <w:rFonts w:asciiTheme="minorHAnsi" w:hAnsiTheme="minorHAnsi"/>
      <w:sz w:val="20"/>
      <w:szCs w:val="20"/>
    </w:rPr>
  </w:style>
  <w:style w:customStyle="1" w:styleId="Table" w:type="table">
    <w:name w:val="Table"/>
    <w:basedOn w:val="TableNormal"/>
    <w:semiHidden/>
    <w:unhideWhenUsed/>
    <w:qFormat/>
    <w:rsid w:val="001D056B"/>
    <w:rPr>
      <w:sz w:val="18"/>
      <w:szCs w:val="20"/>
      <w:lang w:eastAsia="en-GB" w:val="en-PL"/>
    </w:rPr>
    <w:tblPr>
      <w:tblStyleRowBandSize w:val="1"/>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tcPr>
      <w:shd w:color="auto" w:fill="auto" w:val="clear"/>
    </w:tcPr>
    <w:tblStylePr w:type="firstRow">
      <w:pPr>
        <w:jc w:val="left"/>
      </w:pPr>
      <w:rPr>
        <w:b/>
        <w:i w:val="0"/>
        <w:color w:val="004494"/>
        <w:sz w:val="19"/>
      </w:rPr>
    </w:tblStylePr>
    <w:tblStylePr w:type="band1Horz">
      <w:rPr>
        <w:b w:val="0"/>
        <w:i w:val="0"/>
        <w:sz w:val="18"/>
      </w:rPr>
    </w:tblStylePr>
    <w:tblStylePr w:type="band2Horz">
      <w:rPr>
        <w:b w:val="0"/>
        <w:i w:val="0"/>
        <w:sz w:val="18"/>
      </w:rPr>
    </w:tblStylePr>
  </w:style>
  <w:style w:customStyle="1" w:styleId="LeftAlign" w:type="paragraph">
    <w:name w:val="LeftAlign"/>
    <w:qFormat/>
    <w:rsid w:val="005C6846"/>
    <w:pPr>
      <w:spacing w:before="240"/>
    </w:pPr>
    <w:rPr>
      <w:rFonts w:ascii="Calibri" w:hAnsi="Calibri"/>
      <w:sz w:val="22"/>
    </w:rPr>
  </w:style>
  <w:style w:customStyle="1" w:styleId="TableHeader" w:type="paragraph">
    <w:name w:val="TableHeader"/>
    <w:qFormat/>
    <w:rsid w:val="00E717D7"/>
    <w:pPr>
      <w:spacing w:after="60" w:before="60"/>
      <w:jc w:val="center"/>
    </w:pPr>
    <w:rPr>
      <w:rFonts w:ascii="Arial" w:cs="Arial" w:eastAsia="Aptos" w:hAnsi="Arial"/>
      <w:color w:val="004494"/>
      <w:sz w:val="19"/>
      <w:szCs w:val="19"/>
      <w:lang w:eastAsia="en-GB" w:val="en-PL"/>
    </w:rPr>
  </w:style>
  <w:style w:customStyle="1" w:styleId="TableContent" w:type="paragraph">
    <w:name w:val="TableContent"/>
    <w:qFormat/>
    <w:rsid w:val="00E717D7"/>
    <w:pPr>
      <w:spacing w:after="30" w:before="30"/>
    </w:pPr>
    <w:rPr>
      <w:rFonts w:ascii="Calibri" w:cs="Times New Roman (Body CS)" w:eastAsia="Aptos" w:hAnsi="Calibri"/>
      <w:sz w:val="18"/>
      <w:szCs w:val="18"/>
      <w:lang w:eastAsia="en-GB" w:val="en-PL"/>
    </w:rPr>
  </w:style>
  <w:style w:styleId="GridTable1Light" w:type="table">
    <w:name w:val="Grid Table 1 Light"/>
    <w:basedOn w:val="TableNormal"/>
    <w:rsid w:val="00C112C1"/>
    <w:tblPr>
      <w:tblStyleRowBandSize w:val="1"/>
      <w:tblStyleColBandSize w:val="1"/>
      <w:tblBorders>
        <w:top w:color="999999" w:space="0" w:sz="4" w:themeColor="text1" w:themeTint="66" w:val="single"/>
        <w:left w:color="999999" w:space="0" w:sz="4" w:themeColor="text1" w:themeTint="66" w:val="single"/>
        <w:bottom w:color="999999" w:space="0" w:sz="4" w:themeColor="text1" w:themeTint="66" w:val="single"/>
        <w:right w:color="999999" w:space="0" w:sz="4" w:themeColor="text1" w:themeTint="66" w:val="single"/>
        <w:insideH w:color="999999" w:space="0" w:sz="4" w:themeColor="text1" w:themeTint="66" w:val="single"/>
        <w:insideV w:color="999999" w:space="0" w:sz="4" w:themeColor="text1" w:themeTint="66" w:val="single"/>
      </w:tblBorders>
    </w:tblPr>
    <w:tblStylePr w:type="firstRow">
      <w:rPr>
        <w:b/>
        <w:bCs/>
      </w:rPr>
      <w:tblPr/>
      <w:tcPr>
        <w:tcBorders>
          <w:bottom w:color="666666" w:space="0" w:sz="12" w:themeColor="text1" w:themeTint="99" w:val="single"/>
        </w:tcBorders>
      </w:tcPr>
    </w:tblStylePr>
    <w:tblStylePr w:type="lastRow">
      <w:rPr>
        <w:b/>
        <w:bCs/>
      </w:rPr>
      <w:tblPr/>
      <w:tcPr>
        <w:tcBorders>
          <w:top w:color="666666" w:space="0" w:sz="2" w:themeColor="text1" w:themeTint="99" w:val="double"/>
        </w:tcBorders>
      </w:tcPr>
    </w:tblStylePr>
    <w:tblStylePr w:type="firstCol">
      <w:rPr>
        <w:b/>
        <w:bCs/>
      </w:rPr>
    </w:tblStylePr>
    <w:tblStylePr w:type="lastCol">
      <w:rPr>
        <w:b/>
        <w:bCs/>
      </w:rPr>
    </w:tblStylePr>
  </w:style>
  <w:style w:customStyle="1" w:styleId="NormalLine" w:type="character">
    <w:name w:val="NormalLine"/>
    <w:uiPriority w:val="1"/>
    <w:qFormat/>
    <w:rsid w:val="00DA32BA"/>
    <w:rPr>
      <w:rFonts w:ascii="Calibri" w:hAnsi="Calibri"/>
      <w:b w:val="0"/>
      <w:i w:val="0"/>
      <w:sz w:val="22"/>
    </w:r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Id="rId10" Target="footer3.xml" Type="http://schemas.openxmlformats.org/officeDocument/2006/relationships/footer" /><Relationship Id="rId11" Target="footer2.xml" Type="http://schemas.openxmlformats.org/officeDocument/2006/relationships/footer" /><Relationship Id="rId12" Target="footer1.xml" Type="http://schemas.openxmlformats.org/officeDocument/2006/relationships/footer" /><Relationship Type="http://schemas.openxmlformats.org/officeDocument/2006/relationships/image" Id="rId57" Target="media/rId57.png" /><Relationship Type="http://schemas.openxmlformats.org/officeDocument/2006/relationships/image" Id="rId116" Target="media/rId116.png" /><Relationship Type="http://schemas.openxmlformats.org/officeDocument/2006/relationships/image" Id="rId119" Target="media/rId119.png" /><Relationship Type="http://schemas.openxmlformats.org/officeDocument/2006/relationships/image" Id="rId122" Target="media/rId122.png" /><Relationship Type="http://schemas.openxmlformats.org/officeDocument/2006/relationships/image" Id="rId45" Target="media/rId45.png" /><Relationship Type="http://schemas.openxmlformats.org/officeDocument/2006/relationships/image" Id="rId48" Target="media/rId48.png" /><Relationship Type="http://schemas.openxmlformats.org/officeDocument/2006/relationships/image" Id="rId60" Target="media/rId60.png" /><Relationship Type="http://schemas.openxmlformats.org/officeDocument/2006/relationships/image" Id="rId63" Target="media/rId63.png" /><Relationship Type="http://schemas.openxmlformats.org/officeDocument/2006/relationships/image" Id="rId70" Target="media/rId70.png" /><Relationship Type="http://schemas.openxmlformats.org/officeDocument/2006/relationships/image" Id="rId73" Target="media/rId73.png" /><Relationship Type="http://schemas.openxmlformats.org/officeDocument/2006/relationships/image" Id="rId76" Target="media/rId76.png" /><Relationship Type="http://schemas.openxmlformats.org/officeDocument/2006/relationships/image" Id="rId79" Target="media/rId79.jpg" /><Relationship Type="http://schemas.openxmlformats.org/officeDocument/2006/relationships/image" Id="rId82" Target="media/rId82.jpg" /><Relationship Type="http://schemas.openxmlformats.org/officeDocument/2006/relationships/image" Id="rId85" Target="media/rId85.jpg" /><Relationship Type="http://schemas.openxmlformats.org/officeDocument/2006/relationships/image" Id="rId88" Target="media/rId88.jpg" /><Relationship Type="http://schemas.openxmlformats.org/officeDocument/2006/relationships/image" Id="rId91" Target="media/rId91.jpg" /><Relationship Type="http://schemas.openxmlformats.org/officeDocument/2006/relationships/image" Id="rId94" Target="media/rId94.jpg" /><Relationship Type="http://schemas.openxmlformats.org/officeDocument/2006/relationships/image" Id="rId97" Target="media/rId97.jpg" /><Relationship Type="http://schemas.openxmlformats.org/officeDocument/2006/relationships/image" Id="rId100" Target="media/rId100.png" /><Relationship Type="http://schemas.openxmlformats.org/officeDocument/2006/relationships/image" Id="rId104" Target="media/rId104.png" /><Relationship Type="http://schemas.openxmlformats.org/officeDocument/2006/relationships/image" Id="rId108" Target="media/rId108.png" /><Relationship Type="http://schemas.openxmlformats.org/officeDocument/2006/relationships/image" Id="rId111" Target="media/rId111.png" /><Relationship Type="http://schemas.openxmlformats.org/officeDocument/2006/relationships/image" Id="rId127" Target="media/rId127.png" /><Relationship Type="http://schemas.openxmlformats.org/officeDocument/2006/relationships/image" Id="rId131" Target="media/rId131.png" /><Relationship Type="http://schemas.openxmlformats.org/officeDocument/2006/relationships/image" Id="rId134" Target="media/rId134.png" /><Relationship Type="http://schemas.openxmlformats.org/officeDocument/2006/relationships/image" Id="rId137" Target="media/rId137.png" /><Relationship Type="http://schemas.openxmlformats.org/officeDocument/2006/relationships/image" Id="rId140" Target="media/rId140.png" /><Relationship Type="http://schemas.openxmlformats.org/officeDocument/2006/relationships/image" Id="rId29" Target="media/rId29.png" /><Relationship Type="http://schemas.openxmlformats.org/officeDocument/2006/relationships/image" Id="rId32" Target="media/rId32.png" /><Relationship Type="http://schemas.openxmlformats.org/officeDocument/2006/relationships/image" Id="rId35" Target="media/rId35.png" /><Relationship Type="http://schemas.openxmlformats.org/officeDocument/2006/relationships/image" Id="rId39" Target="media/rId39.png" /><Relationship Type="http://schemas.openxmlformats.org/officeDocument/2006/relationships/image" Id="rId42" Target="media/rId42.png" /><Relationship Type="http://schemas.openxmlformats.org/officeDocument/2006/relationships/hyperlink" Id="rId53" Target="http://cop4n2k.eu/" TargetMode="External" /><Relationship Type="http://schemas.openxmlformats.org/officeDocument/2006/relationships/hyperlink" Id="rId158" Target="https://eur-lex.europa.eu/legal-content/EN/TXT/?qid=1590574123338&amp;uri=CELEX%3A52020DC0380" TargetMode="External" /><Relationship Type="http://schemas.openxmlformats.org/officeDocument/2006/relationships/hyperlink" Id="rId68" Target="https://eur-lex.europa.eu/legal-content/EN/TXT/PDF/?uri=CELEX:32011D0484&amp;from=EN" TargetMode="External" /><Relationship Type="http://schemas.openxmlformats.org/officeDocument/2006/relationships/hyperlink" Id="rId148" Target="https://github.com/eea/copernicus_quality_tools" TargetMode="External" /><Relationship Type="http://schemas.openxmlformats.org/officeDocument/2006/relationships/hyperlink" Id="rId157" Target="https://knowledge4policy.ec.europa.eu/publication/commission-staff-working-document-expression-user-needs-copernicus-programme_en" TargetMode="External" /><Relationship Type="http://schemas.openxmlformats.org/officeDocument/2006/relationships/hyperlink" Id="rId20" Target="https://land.copernicus.eu/" TargetMode="External" /><Relationship Type="http://schemas.openxmlformats.org/officeDocument/2006/relationships/hyperlink" Id="rId25" Target="https://land.copernicus.eu/user-corner/technical-library/n2k-validation-report" TargetMode="External" /><Relationship Type="http://schemas.openxmlformats.org/officeDocument/2006/relationships/hyperlink" Id="rId24" Target="https://land.copernicus.eu/user-corner/technical-library/nmg_n2k_status_2018_change_2012_2018" TargetMode="External" /><Relationship Type="http://schemas.openxmlformats.org/officeDocument/2006/relationships/hyperlink" Id="rId159" Target="https://www.eea.europa.eu/publications/COR0-landcover" TargetMode="External" /><Relationship Type="http://schemas.openxmlformats.org/officeDocument/2006/relationships/hyperlink" Id="rId160" Target="https://www.eea.europa.eu/publications/soer-2020" TargetMode="External" /><Relationship Type="http://schemas.openxmlformats.org/officeDocument/2006/relationships/hyperlink" Id="rId161" Target="https://www.eea.europa.eu/themes/biodiversity/green-infrastructure/building-a-coherent-trans-european/contributions-to-building-a-coherent/view" TargetMode="External" /><Relationship Type="http://schemas.openxmlformats.org/officeDocument/2006/relationships/hyperlink" Id="rId154" Target="mailto:copernicus@eea.europa.eu" TargetMode="External" /></Relationships>
</file>

<file path=word/_rels/footer3.xml.rels><?xml version="1.0" encoding="UTF-8" standalone="yes"?>
<Relationships xmlns="http://schemas.openxmlformats.org/package/2006/relationships"><Relationship Id="rId1" Type="http://schemas.openxmlformats.org/officeDocument/2006/relationships/image" Target="media/image1.png"/></Relationships>
</file>

<file path=word/_rels/footnotes.xml.rels><?xml version="1.0" encoding="UTF-8"?><Relationships xmlns="http://schemas.openxmlformats.org/package/2006/relationships"><Relationship Type="http://schemas.openxmlformats.org/officeDocument/2006/relationships/hyperlink" Id="rId53" Target="http://cop4n2k.eu/" TargetMode="External" /><Relationship Type="http://schemas.openxmlformats.org/officeDocument/2006/relationships/hyperlink" Id="rId158" Target="https://eur-lex.europa.eu/legal-content/EN/TXT/?qid=1590574123338&amp;uri=CELEX%3A52020DC0380" TargetMode="External" /><Relationship Type="http://schemas.openxmlformats.org/officeDocument/2006/relationships/hyperlink" Id="rId68" Target="https://eur-lex.europa.eu/legal-content/EN/TXT/PDF/?uri=CELEX:32011D0484&amp;from=EN" TargetMode="External" /><Relationship Type="http://schemas.openxmlformats.org/officeDocument/2006/relationships/hyperlink" Id="rId148" Target="https://github.com/eea/copernicus_quality_tools" TargetMode="External" /><Relationship Type="http://schemas.openxmlformats.org/officeDocument/2006/relationships/hyperlink" Id="rId157" Target="https://knowledge4policy.ec.europa.eu/publication/commission-staff-working-document-expression-user-needs-copernicus-programme_en" TargetMode="External" /><Relationship Type="http://schemas.openxmlformats.org/officeDocument/2006/relationships/hyperlink" Id="rId20" Target="https://land.copernicus.eu/" TargetMode="External" /><Relationship Type="http://schemas.openxmlformats.org/officeDocument/2006/relationships/hyperlink" Id="rId25" Target="https://land.copernicus.eu/user-corner/technical-library/n2k-validation-report" TargetMode="External" /><Relationship Type="http://schemas.openxmlformats.org/officeDocument/2006/relationships/hyperlink" Id="rId24" Target="https://land.copernicus.eu/user-corner/technical-library/nmg_n2k_status_2018_change_2012_2018" TargetMode="External" /><Relationship Type="http://schemas.openxmlformats.org/officeDocument/2006/relationships/hyperlink" Id="rId159" Target="https://www.eea.europa.eu/publications/COR0-landcover" TargetMode="External" /><Relationship Type="http://schemas.openxmlformats.org/officeDocument/2006/relationships/hyperlink" Id="rId160" Target="https://www.eea.europa.eu/publications/soer-2020" TargetMode="External" /><Relationship Type="http://schemas.openxmlformats.org/officeDocument/2006/relationships/hyperlink" Id="rId161" Target="https://www.eea.europa.eu/themes/biodiversity/green-infrastructure/building-a-coherent-trans-european/contributions-to-building-a-coherent/view" TargetMode="External" /><Relationship Type="http://schemas.openxmlformats.org/officeDocument/2006/relationships/hyperlink" Id="rId154" Target="mailto:copernicus@eea.europa.eu" TargetMode="External" /></Relationships>
</file>

<file path=word/_rels/header1.xml.rels><?xml version="1.0" encoding="UTF-8" standalone="yes"?>
<Relationships xmlns="http://schemas.openxmlformats.org/package/2006/relationships"><Relationship Id="rId3" Type="http://schemas.openxmlformats.org/officeDocument/2006/relationships/image" Target="media/image3.png"/><Relationship Id="rId2" Type="http://schemas.openxmlformats.org/officeDocument/2006/relationships/image" Target="media/image2.png"/><Relationship Id="rId1" Type="http://schemas.openxmlformats.org/officeDocument/2006/relationships/image" Target="media/image1.png"/><Relationship Id="rId4"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232</TotalTime>
  <Pages>4</Pages>
  <Words>98</Words>
  <Characters>560</Characters>
  <Application>Microsoft Office Word</Application>
  <DocSecurity>0</DocSecurity>
  <Lines>4</Lines>
  <Paragraphs>1</Paragraphs>
  <ScaleCrop>false</ScaleCrop>
  <Company/>
  <LinksUpToDate>false</LinksUpToDate>
  <CharactersWithSpaces>657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N2K - Product User Manual (PUM)</dc:title>
  <dc:creator/>
  <cp:category>products</cp:category>
  <dc:description>This Product User Manual (PUM) provides a comprehensive overview of the Copernicus Land Monitoring Service (CLMS) N2K product, which delivers detailed land cover/land use (LC/LU) data for over 4,700 grassland-rich Natura 2000 sites across Europe for 2006, 2012, and 2018. It explains the product’s purpose, which is to support the monitoring and assessment of habitat conservation status using very high-resolution satellite data, offering both status and change maps based on a harmonised classification system. The manual details the product’s characteristics, methodology, workflows, quality assessment, and provides guidance on access, use conditions, and technical support.</dc:description>
  <cp:keywords>Natura 2000 sites, Land Cover/Land Use mapping, Very High Resolution satellite data, Grassland habitat types, Habitat Directive Annex I, Minimum Mapping Unit, Thematic classification accuracy, Change detection analysis, ETRS89 Lambert Azimuthal Equal Area projection, Mapping and Assessment of Ecosystems and their Services typology</cp:keywords>
  <dcterms:created xsi:type="dcterms:W3CDTF">2025-10-08T06:59:17Z</dcterms:created>
  <dcterms:modified xsi:type="dcterms:W3CDTF">2025-10-08T06:59:17Z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data">
    <vt:lpwstr>False</vt:lpwstr>
  </property>
  <property fmtid="{D5CDD505-2E9C-101B-9397-08002B2CF9AE}" pid="4" name="date">
    <vt:lpwstr>2021-12-01</vt:lpwstr>
  </property>
  <property fmtid="{D5CDD505-2E9C-101B-9397-08002B2CF9AE}" pid="5" name="documentclass">
    <vt:lpwstr>scrartcl</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license">
    <vt:lpwstr/>
  </property>
  <property fmtid="{D5CDD505-2E9C-101B-9397-08002B2CF9AE}" pid="11" name="resources">
    <vt:lpwstr/>
  </property>
  <property fmtid="{D5CDD505-2E9C-101B-9397-08002B2CF9AE}" pid="12" name="sitemap">
    <vt:lpwstr>True</vt:lpwstr>
  </property>
  <property fmtid="{D5CDD505-2E9C-101B-9397-08002B2CF9AE}" pid="13" name="subtitle">
    <vt:lpwstr>Copernicus Land Monitoring Service</vt:lpwstr>
  </property>
  <property fmtid="{D5CDD505-2E9C-101B-9397-08002B2CF9AE}" pid="14" name="toc-location">
    <vt:lpwstr>before-body</vt:lpwstr>
  </property>
  <property fmtid="{D5CDD505-2E9C-101B-9397-08002B2CF9AE}" pid="15" name="toc-pagebreak">
    <vt:lpwstr>True</vt:lpwstr>
  </property>
  <property fmtid="{D5CDD505-2E9C-101B-9397-08002B2CF9AE}" pid="16" name="toc-title">
    <vt:lpwstr>Content</vt:lpwstr>
  </property>
  <property fmtid="{D5CDD505-2E9C-101B-9397-08002B2CF9AE}" pid="17" name="version">
    <vt:lpwstr>1</vt:lpwstr>
  </property>
</Properties>
</file>