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49" w:rsidRDefault="00772D49" w:rsidP="00772D49">
      <w:pPr>
        <w:pStyle w:val="Heading1"/>
        <w:rPr>
          <w:lang w:val="en-US"/>
        </w:rPr>
      </w:pPr>
      <w:r>
        <w:rPr>
          <w:lang w:val="en-US"/>
        </w:rPr>
        <w:t>Use of GWPs</w:t>
      </w: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>GWP are used for two purposes:</w:t>
      </w:r>
    </w:p>
    <w:p w:rsidR="00772D49" w:rsidRDefault="00772D49" w:rsidP="00772D49">
      <w:pPr>
        <w:pStyle w:val="Standard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Checking on reporting obligations (in the context of automated QC checks): “</w:t>
      </w:r>
      <w:proofErr w:type="spellStart"/>
      <w:r>
        <w:rPr>
          <w:lang w:val="en-US"/>
        </w:rPr>
        <w:t>GWP_Annex.IV</w:t>
      </w:r>
      <w:proofErr w:type="spellEnd"/>
      <w:r>
        <w:rPr>
          <w:lang w:val="en-US"/>
        </w:rPr>
        <w:t>”</w:t>
      </w:r>
    </w:p>
    <w:p w:rsidR="00772D49" w:rsidRDefault="00772D49" w:rsidP="00772D49">
      <w:pPr>
        <w:pStyle w:val="Standard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&amp; checking HFC quota related data &amp; obligations: “GWP_HFCs”</w:t>
      </w:r>
    </w:p>
    <w:p w:rsidR="00772D49" w:rsidRDefault="00772D49" w:rsidP="00772D49">
      <w:pPr>
        <w:pStyle w:val="Standardtext"/>
        <w:rPr>
          <w:lang w:val="en-US"/>
        </w:rPr>
      </w:pP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 xml:space="preserve"> (For Annex I &amp; II gases, the </w:t>
      </w:r>
      <w:proofErr w:type="spellStart"/>
      <w:r>
        <w:rPr>
          <w:lang w:val="en-US"/>
        </w:rPr>
        <w:t>GWP_Annex_IV</w:t>
      </w:r>
      <w:proofErr w:type="spellEnd"/>
      <w:r>
        <w:rPr>
          <w:lang w:val="en-US"/>
        </w:rPr>
        <w:t xml:space="preserve"> equals the GWP_AR4_100 as given in </w:t>
      </w:r>
      <w:proofErr w:type="spellStart"/>
      <w:r>
        <w:rPr>
          <w:lang w:val="en-US"/>
        </w:rPr>
        <w:t>tbl_components</w:t>
      </w:r>
      <w:proofErr w:type="spellEnd"/>
      <w:r>
        <w:rPr>
          <w:lang w:val="en-US"/>
        </w:rPr>
        <w:t xml:space="preserve"> of the FDB. For HFCs (Annex I, section 1) the GWP_HFCs equals the GWP_AR4_100 as given in </w:t>
      </w:r>
      <w:proofErr w:type="spellStart"/>
      <w:r>
        <w:rPr>
          <w:lang w:val="en-US"/>
        </w:rPr>
        <w:t>tbl_components</w:t>
      </w:r>
      <w:proofErr w:type="spellEnd"/>
      <w:r>
        <w:rPr>
          <w:lang w:val="en-US"/>
        </w:rPr>
        <w:t xml:space="preserve"> of the FDB. For all other Annex I &amp; II gases, the GWP_HFCs is zero.)</w:t>
      </w: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>All the GWPs are also found in the GWP excel sheet we had sent you, in the “GWP full” (=Annex IV) and “GWP HFC part only” columns, respectively.</w:t>
      </w:r>
    </w:p>
    <w:p w:rsidR="00772D49" w:rsidRDefault="00772D49" w:rsidP="00772D49">
      <w:pPr>
        <w:pStyle w:val="Standardtext"/>
        <w:rPr>
          <w:lang w:val="en-US"/>
        </w:rPr>
      </w:pP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>For mixtures the issues is slightly more complex:</w:t>
      </w:r>
    </w:p>
    <w:p w:rsidR="00772D49" w:rsidRDefault="00772D49" w:rsidP="00772D49">
      <w:pPr>
        <w:pStyle w:val="Heading2"/>
        <w:rPr>
          <w:lang w:val="en-US"/>
        </w:rPr>
      </w:pPr>
      <w:r>
        <w:rPr>
          <w:lang w:val="en-US"/>
        </w:rPr>
        <w:t>Calculation of GWPs of mixtures for the purpose of checking on the reporting obligation thresholds (= “</w:t>
      </w:r>
      <w:proofErr w:type="spellStart"/>
      <w:r>
        <w:rPr>
          <w:lang w:val="en-US"/>
        </w:rPr>
        <w:t>GWP_Annex_IV</w:t>
      </w:r>
      <w:proofErr w:type="spellEnd"/>
      <w:r>
        <w:rPr>
          <w:lang w:val="en-US"/>
        </w:rPr>
        <w:t>”)</w:t>
      </w:r>
    </w:p>
    <w:p w:rsidR="00772D49" w:rsidRPr="008C6DDA" w:rsidRDefault="00772D49" w:rsidP="00772D49">
      <w:pPr>
        <w:rPr>
          <w:b/>
          <w:lang w:val="en-US"/>
        </w:rPr>
      </w:pPr>
      <w:r w:rsidRPr="008C6DDA">
        <w:rPr>
          <w:b/>
          <w:lang w:val="en-US"/>
        </w:rPr>
        <w:t xml:space="preserve">For the purpose of the questionnaire, the GWPs of mixture calculated this way is only relevant in the context of a couple of quality checks where metric </w:t>
      </w:r>
      <w:proofErr w:type="spellStart"/>
      <w:r w:rsidRPr="008C6DDA">
        <w:rPr>
          <w:b/>
          <w:lang w:val="en-US"/>
        </w:rPr>
        <w:t>tonnes</w:t>
      </w:r>
      <w:proofErr w:type="spellEnd"/>
      <w:r w:rsidRPr="008C6DDA">
        <w:rPr>
          <w:b/>
          <w:lang w:val="en-US"/>
        </w:rPr>
        <w:t xml:space="preserve"> of gases/mixtures reported in place of the questionnaire are </w:t>
      </w:r>
      <w:proofErr w:type="spellStart"/>
      <w:r w:rsidRPr="008C6DDA">
        <w:rPr>
          <w:b/>
          <w:lang w:val="en-US"/>
        </w:rPr>
        <w:t>analysed</w:t>
      </w:r>
      <w:proofErr w:type="spellEnd"/>
      <w:r w:rsidRPr="008C6DDA">
        <w:rPr>
          <w:b/>
          <w:lang w:val="en-US"/>
        </w:rPr>
        <w:t xml:space="preserve"> in order to check whether a reporting obligation is gi</w:t>
      </w:r>
      <w:r w:rsidRPr="008C6DDA">
        <w:rPr>
          <w:b/>
          <w:lang w:val="en-US"/>
        </w:rPr>
        <w:t>v</w:t>
      </w:r>
      <w:r w:rsidRPr="008C6DDA">
        <w:rPr>
          <w:b/>
          <w:lang w:val="en-US"/>
        </w:rPr>
        <w:t>en for other parts of the questionnaire.</w:t>
      </w:r>
    </w:p>
    <w:p w:rsidR="00772D49" w:rsidRPr="003B6889" w:rsidRDefault="00772D49" w:rsidP="007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 w:rsidRPr="003B6889">
        <w:rPr>
          <w:lang w:val="en-US"/>
        </w:rPr>
        <w:t>The GWP of a mixture is calculated as a weighted average, derived from the sum of the weight fractions of the individual substances multiplied by their GWP, including substances that are not fluorinated greenhouse gases.</w:t>
      </w:r>
    </w:p>
    <w:p w:rsidR="00772D49" w:rsidRPr="003B6889" w:rsidRDefault="00772D49" w:rsidP="007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 w:rsidRPr="000174B5">
        <w:t>Σ</w:t>
      </w:r>
      <w:r w:rsidRPr="003B6889">
        <w:rPr>
          <w:lang w:val="en-US"/>
        </w:rPr>
        <w:t xml:space="preserve"> [(Substance X% x GWP) + (Substance Y% x GWP) + … (Substance N% x GWP)]</w:t>
      </w:r>
    </w:p>
    <w:p w:rsidR="00772D49" w:rsidRPr="003B6889" w:rsidRDefault="00772D49" w:rsidP="007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 w:rsidRPr="003B6889">
        <w:rPr>
          <w:lang w:val="en-US"/>
        </w:rPr>
        <w:t xml:space="preserve">where </w:t>
      </w:r>
      <w:r>
        <w:rPr>
          <w:lang w:val="en-US"/>
        </w:rPr>
        <w:t>% is the contribution by weight.</w:t>
      </w:r>
    </w:p>
    <w:p w:rsidR="00772D49" w:rsidRDefault="00772D49" w:rsidP="00772D49">
      <w:pPr>
        <w:pStyle w:val="Standar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>
        <w:rPr>
          <w:lang w:val="en-US"/>
        </w:rPr>
        <w:t>Companies may specify F-gases of Annex I &amp; II, non-F-gases of Annex IV and “other” gases as constituents of the mixture</w:t>
      </w:r>
    </w:p>
    <w:p w:rsidR="00772D49" w:rsidRDefault="00772D49" w:rsidP="00772D49">
      <w:pPr>
        <w:pStyle w:val="Standar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>
        <w:rPr>
          <w:lang w:val="en-US"/>
        </w:rPr>
        <w:t xml:space="preserve">GWPs of Annex I, II &amp; IV gases are given in </w:t>
      </w:r>
      <w:proofErr w:type="spellStart"/>
      <w:r>
        <w:rPr>
          <w:lang w:val="en-US"/>
        </w:rPr>
        <w:t>tbl_components</w:t>
      </w:r>
      <w:proofErr w:type="spellEnd"/>
    </w:p>
    <w:p w:rsidR="00772D49" w:rsidRDefault="00772D49" w:rsidP="00772D49">
      <w:pPr>
        <w:pStyle w:val="Standar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>
        <w:rPr>
          <w:lang w:val="en-US"/>
        </w:rPr>
        <w:t xml:space="preserve">For each “other” gas specified by the reporter a default GWP of zero is to be assumed, even in case this other gas would be for example an HCFC (chlorofluorocarbon = </w:t>
      </w:r>
      <w:proofErr w:type="spellStart"/>
      <w:r>
        <w:rPr>
          <w:lang w:val="en-US"/>
        </w:rPr>
        <w:t>ozon</w:t>
      </w:r>
      <w:proofErr w:type="spellEnd"/>
      <w:r>
        <w:rPr>
          <w:lang w:val="en-US"/>
        </w:rPr>
        <w:t xml:space="preserve"> depleting su</w:t>
      </w:r>
      <w:r>
        <w:rPr>
          <w:lang w:val="en-US"/>
        </w:rPr>
        <w:t>b</w:t>
      </w:r>
      <w:r>
        <w:rPr>
          <w:lang w:val="en-US"/>
        </w:rPr>
        <w:t>stance, bearing in fact a high GWP as well)!</w:t>
      </w: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GWP_Annex_IV</w:t>
      </w:r>
      <w:proofErr w:type="spellEnd"/>
      <w:r>
        <w:rPr>
          <w:lang w:val="en-US"/>
        </w:rPr>
        <w:t xml:space="preserve"> of gases/mixtures contained in the FDB please refer to the spreadsheet we had sent you, “</w:t>
      </w:r>
      <w:r w:rsidRPr="002956E8">
        <w:rPr>
          <w:lang w:val="en-US"/>
        </w:rPr>
        <w:t>Gases, blends and GWPs from FDB</w:t>
      </w:r>
      <w:r>
        <w:rPr>
          <w:lang w:val="en-US"/>
        </w:rPr>
        <w:t>”, in the “GWP full” column.</w:t>
      </w:r>
    </w:p>
    <w:p w:rsidR="00772D49" w:rsidRPr="0051504B" w:rsidRDefault="00772D49" w:rsidP="00772D49">
      <w:pPr>
        <w:pStyle w:val="Standardtext"/>
        <w:rPr>
          <w:b/>
          <w:lang w:val="en-US"/>
        </w:rPr>
      </w:pPr>
      <w:r w:rsidRPr="005C39DF">
        <w:rPr>
          <w:b/>
          <w:highlight w:val="yellow"/>
          <w:lang w:val="en-US"/>
        </w:rPr>
        <w:t xml:space="preserve">The </w:t>
      </w:r>
      <w:proofErr w:type="spellStart"/>
      <w:r w:rsidRPr="005C39DF">
        <w:rPr>
          <w:b/>
          <w:highlight w:val="yellow"/>
          <w:lang w:val="en-US"/>
        </w:rPr>
        <w:t>GWP_Annex_IV</w:t>
      </w:r>
      <w:proofErr w:type="spellEnd"/>
      <w:r w:rsidRPr="005C39DF">
        <w:rPr>
          <w:b/>
          <w:highlight w:val="yellow"/>
          <w:lang w:val="en-US"/>
        </w:rPr>
        <w:t xml:space="preserve"> of user-defined mixtures need to be calculated on the spot in the que</w:t>
      </w:r>
      <w:r w:rsidRPr="005C39DF">
        <w:rPr>
          <w:b/>
          <w:highlight w:val="yellow"/>
          <w:lang w:val="en-US"/>
        </w:rPr>
        <w:t>s</w:t>
      </w:r>
      <w:r w:rsidRPr="005C39DF">
        <w:rPr>
          <w:b/>
          <w:highlight w:val="yellow"/>
          <w:lang w:val="en-US"/>
        </w:rPr>
        <w:t xml:space="preserve">tionnaire, but it does not need to be stored in the FDB because are calculated </w:t>
      </w:r>
      <w:r w:rsidRPr="005C39DF">
        <w:rPr>
          <w:b/>
          <w:highlight w:val="yellow"/>
          <w:lang w:val="en-US"/>
        </w:rPr>
        <w:lastRenderedPageBreak/>
        <w:t>automatically based on the composition data.</w:t>
      </w:r>
      <w:r>
        <w:rPr>
          <w:b/>
          <w:lang w:val="en-US"/>
        </w:rPr>
        <w:t xml:space="preserve"> </w:t>
      </w:r>
      <w:r w:rsidRPr="005C39DF">
        <w:rPr>
          <w:b/>
          <w:highlight w:val="yellow"/>
          <w:lang w:val="en-US"/>
        </w:rPr>
        <w:t>The final FDB will contain a query that delivers Annex IV</w:t>
      </w:r>
      <w:r>
        <w:rPr>
          <w:b/>
          <w:highlight w:val="yellow"/>
          <w:lang w:val="en-US"/>
        </w:rPr>
        <w:t xml:space="preserve"> GWPs</w:t>
      </w:r>
      <w:r w:rsidRPr="005C39DF">
        <w:rPr>
          <w:b/>
          <w:highlight w:val="yellow"/>
          <w:lang w:val="en-US"/>
        </w:rPr>
        <w:t xml:space="preserve"> for all stored </w:t>
      </w:r>
      <w:r>
        <w:rPr>
          <w:b/>
          <w:highlight w:val="yellow"/>
          <w:lang w:val="en-US"/>
        </w:rPr>
        <w:t>mixtures</w:t>
      </w:r>
      <w:r w:rsidRPr="005C39DF">
        <w:rPr>
          <w:b/>
          <w:highlight w:val="yellow"/>
          <w:lang w:val="en-US"/>
        </w:rPr>
        <w:t>.</w:t>
      </w:r>
    </w:p>
    <w:p w:rsidR="00772D49" w:rsidRDefault="00772D49" w:rsidP="00772D49">
      <w:pPr>
        <w:pStyle w:val="Standardtext"/>
        <w:rPr>
          <w:lang w:val="en-US"/>
        </w:rPr>
      </w:pPr>
    </w:p>
    <w:p w:rsidR="00772D49" w:rsidRDefault="00772D49" w:rsidP="00772D49">
      <w:pPr>
        <w:pStyle w:val="Heading2"/>
        <w:rPr>
          <w:lang w:val="en-US"/>
        </w:rPr>
      </w:pPr>
      <w:r>
        <w:rPr>
          <w:lang w:val="en-US"/>
        </w:rPr>
        <w:t>Calculation of GWPs of mixtures for the purpose of HFC quota related calc</w:t>
      </w:r>
      <w:r>
        <w:rPr>
          <w:lang w:val="en-US"/>
        </w:rPr>
        <w:t>u</w:t>
      </w:r>
      <w:r>
        <w:rPr>
          <w:lang w:val="en-US"/>
        </w:rPr>
        <w:t>lations (=“GWP_HFCs”)</w:t>
      </w:r>
    </w:p>
    <w:p w:rsidR="00772D49" w:rsidRPr="008C6DDA" w:rsidRDefault="00772D49" w:rsidP="00772D49">
      <w:pPr>
        <w:pStyle w:val="Standardtext"/>
        <w:rPr>
          <w:b/>
          <w:lang w:val="en-US"/>
        </w:rPr>
      </w:pPr>
      <w:r w:rsidRPr="008C6DDA">
        <w:rPr>
          <w:b/>
          <w:lang w:val="en-US"/>
        </w:rPr>
        <w:t xml:space="preserve">In the questionnaire, these GWPs are needed when metric </w:t>
      </w:r>
      <w:proofErr w:type="spellStart"/>
      <w:r w:rsidRPr="008C6DDA">
        <w:rPr>
          <w:b/>
          <w:lang w:val="en-US"/>
        </w:rPr>
        <w:t>tonnes</w:t>
      </w:r>
      <w:proofErr w:type="spellEnd"/>
      <w:r w:rsidRPr="008C6DDA">
        <w:rPr>
          <w:b/>
          <w:lang w:val="en-US"/>
        </w:rPr>
        <w:t xml:space="preserve"> of HFCs &amp; HFC-containing mixtures as summarized in 5G, 5H, 5I &amp; 5J are to converted in to CO</w:t>
      </w:r>
      <w:r w:rsidRPr="008C6DDA">
        <w:rPr>
          <w:b/>
          <w:vertAlign w:val="subscript"/>
          <w:lang w:val="en-US"/>
        </w:rPr>
        <w:t>2</w:t>
      </w:r>
      <w:r w:rsidRPr="008C6DDA">
        <w:rPr>
          <w:b/>
          <w:lang w:val="en-US"/>
        </w:rPr>
        <w:t>-equivalents for transa</w:t>
      </w:r>
      <w:r w:rsidRPr="008C6DDA">
        <w:rPr>
          <w:b/>
          <w:lang w:val="en-US"/>
        </w:rPr>
        <w:t>c</w:t>
      </w:r>
      <w:r w:rsidRPr="008C6DDA">
        <w:rPr>
          <w:b/>
          <w:lang w:val="en-US"/>
        </w:rPr>
        <w:t>tions 9B, 9C, 9D, 9E &amp; 9F.</w:t>
      </w: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>(More applications in section 13 , however not implanted this year1)</w:t>
      </w:r>
    </w:p>
    <w:p w:rsidR="00772D49" w:rsidRPr="003B6889" w:rsidRDefault="00772D49" w:rsidP="007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 w:rsidRPr="003B6889">
        <w:rPr>
          <w:lang w:val="en-US"/>
        </w:rPr>
        <w:t>The GWP</w:t>
      </w:r>
      <w:r>
        <w:rPr>
          <w:lang w:val="en-US"/>
        </w:rPr>
        <w:t>_HFC</w:t>
      </w:r>
      <w:r w:rsidRPr="003B6889">
        <w:rPr>
          <w:lang w:val="en-US"/>
        </w:rPr>
        <w:t xml:space="preserve"> of a mixture is calculated as a weighted average, derived from the sum of the weight fractions of the </w:t>
      </w:r>
      <w:r w:rsidRPr="008C6DDA">
        <w:rPr>
          <w:b/>
          <w:lang w:val="en-US"/>
        </w:rPr>
        <w:t>individual HFCs (only Annex I , section1)</w:t>
      </w:r>
      <w:r w:rsidRPr="003B6889">
        <w:rPr>
          <w:lang w:val="en-US"/>
        </w:rPr>
        <w:t xml:space="preserve"> multiplied by their GWP,.</w:t>
      </w:r>
    </w:p>
    <w:p w:rsidR="00772D49" w:rsidRPr="003B6889" w:rsidRDefault="00772D49" w:rsidP="007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 w:rsidRPr="000174B5">
        <w:t>Σ</w:t>
      </w:r>
      <w:r w:rsidRPr="003B6889">
        <w:rPr>
          <w:lang w:val="en-US"/>
        </w:rPr>
        <w:t xml:space="preserve"> [(</w:t>
      </w:r>
      <w:r>
        <w:rPr>
          <w:lang w:val="en-US"/>
        </w:rPr>
        <w:t>HFC</w:t>
      </w:r>
      <w:r w:rsidRPr="003B6889">
        <w:rPr>
          <w:lang w:val="en-US"/>
        </w:rPr>
        <w:t xml:space="preserve"> X% x GWP) + (</w:t>
      </w:r>
      <w:r>
        <w:rPr>
          <w:lang w:val="en-US"/>
        </w:rPr>
        <w:t>HFC</w:t>
      </w:r>
      <w:r w:rsidRPr="003B6889">
        <w:rPr>
          <w:lang w:val="en-US"/>
        </w:rPr>
        <w:t xml:space="preserve"> Y% x GWP) + … (</w:t>
      </w:r>
      <w:r>
        <w:rPr>
          <w:lang w:val="en-US"/>
        </w:rPr>
        <w:t>HFC</w:t>
      </w:r>
      <w:r w:rsidRPr="003B6889">
        <w:rPr>
          <w:lang w:val="en-US"/>
        </w:rPr>
        <w:t xml:space="preserve"> N% x GWP)]</w:t>
      </w:r>
    </w:p>
    <w:p w:rsidR="00772D49" w:rsidRPr="003B6889" w:rsidRDefault="00772D49" w:rsidP="007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 w:rsidRPr="003B6889">
        <w:rPr>
          <w:lang w:val="en-US"/>
        </w:rPr>
        <w:t xml:space="preserve">where </w:t>
      </w:r>
      <w:r>
        <w:rPr>
          <w:lang w:val="en-US"/>
        </w:rPr>
        <w:t>% is the contribution by weight.</w:t>
      </w:r>
    </w:p>
    <w:p w:rsidR="00772D49" w:rsidRDefault="00772D49" w:rsidP="00772D49">
      <w:pPr>
        <w:pStyle w:val="Standar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lang w:val="en-US"/>
        </w:rPr>
      </w:pPr>
      <w:r>
        <w:rPr>
          <w:lang w:val="en-US"/>
        </w:rPr>
        <w:t>For each non-HFC, a GWP_HFC of zero would be assumed.</w:t>
      </w:r>
    </w:p>
    <w:p w:rsidR="00772D49" w:rsidRDefault="00772D49" w:rsidP="00772D49">
      <w:pPr>
        <w:pStyle w:val="Standardtext"/>
        <w:rPr>
          <w:lang w:val="en-US"/>
        </w:rPr>
      </w:pPr>
      <w:r>
        <w:rPr>
          <w:lang w:val="en-US"/>
        </w:rPr>
        <w:t>For GWP_HFCs of gases/mixtures contained in the FDB please refer to the spreadsheet we had sent you, “</w:t>
      </w:r>
      <w:r w:rsidRPr="002956E8">
        <w:rPr>
          <w:lang w:val="en-US"/>
        </w:rPr>
        <w:t>Gases, blends and GWPs from FDB</w:t>
      </w:r>
      <w:r>
        <w:rPr>
          <w:lang w:val="en-US"/>
        </w:rPr>
        <w:t>”, in the “GWP HFC part only” column.</w:t>
      </w:r>
    </w:p>
    <w:p w:rsidR="00772D49" w:rsidRPr="0051504B" w:rsidRDefault="00772D49" w:rsidP="00772D49">
      <w:pPr>
        <w:pStyle w:val="Standardtext"/>
        <w:rPr>
          <w:b/>
          <w:lang w:val="en-US"/>
        </w:rPr>
      </w:pPr>
      <w:r w:rsidRPr="005C39DF">
        <w:rPr>
          <w:b/>
          <w:highlight w:val="yellow"/>
          <w:lang w:val="en-US"/>
        </w:rPr>
        <w:t>The GWP_</w:t>
      </w:r>
      <w:r>
        <w:rPr>
          <w:b/>
          <w:highlight w:val="yellow"/>
          <w:lang w:val="en-US"/>
        </w:rPr>
        <w:t>HFCs</w:t>
      </w:r>
      <w:r w:rsidRPr="005C39DF">
        <w:rPr>
          <w:b/>
          <w:highlight w:val="yellow"/>
          <w:lang w:val="en-US"/>
        </w:rPr>
        <w:t xml:space="preserve"> of user-defined mixtures need to be calculated on the spot in the questio</w:t>
      </w:r>
      <w:r w:rsidRPr="005C39DF">
        <w:rPr>
          <w:b/>
          <w:highlight w:val="yellow"/>
          <w:lang w:val="en-US"/>
        </w:rPr>
        <w:t>n</w:t>
      </w:r>
      <w:r w:rsidRPr="005C39DF">
        <w:rPr>
          <w:b/>
          <w:highlight w:val="yellow"/>
          <w:lang w:val="en-US"/>
        </w:rPr>
        <w:t>naire, but it does not need to be stored in the FDB because are calculated automatically based on the composition data.</w:t>
      </w:r>
      <w:r>
        <w:rPr>
          <w:b/>
          <w:lang w:val="en-US"/>
        </w:rPr>
        <w:t xml:space="preserve"> </w:t>
      </w:r>
      <w:r w:rsidRPr="005C39DF">
        <w:rPr>
          <w:b/>
          <w:highlight w:val="yellow"/>
          <w:lang w:val="en-US"/>
        </w:rPr>
        <w:t xml:space="preserve">The final FDB will contain a query that delivers HFC only GWPs for all stored </w:t>
      </w:r>
      <w:r>
        <w:rPr>
          <w:b/>
          <w:highlight w:val="yellow"/>
          <w:lang w:val="en-US"/>
        </w:rPr>
        <w:t>mixtures</w:t>
      </w:r>
      <w:r w:rsidRPr="005C39DF">
        <w:rPr>
          <w:b/>
          <w:highlight w:val="yellow"/>
          <w:lang w:val="en-US"/>
        </w:rPr>
        <w:t>.</w:t>
      </w:r>
    </w:p>
    <w:p w:rsidR="00772D49" w:rsidRDefault="00772D49" w:rsidP="00772D49">
      <w:pPr>
        <w:pStyle w:val="Standardtext"/>
        <w:rPr>
          <w:lang w:val="en-US"/>
        </w:rPr>
      </w:pPr>
    </w:p>
    <w:p w:rsidR="00772D49" w:rsidRPr="001B6264" w:rsidRDefault="00772D49" w:rsidP="00772D49">
      <w:pPr>
        <w:pStyle w:val="Standardtext"/>
        <w:rPr>
          <w:lang w:val="en-US"/>
        </w:rPr>
      </w:pPr>
    </w:p>
    <w:p w:rsidR="00E123A1" w:rsidRDefault="00772D49"/>
    <w:sectPr w:rsidR="00E123A1" w:rsidSect="00772D49">
      <w:footerReference w:type="first" r:id="rId5"/>
      <w:pgSz w:w="11906" w:h="16838" w:code="9"/>
      <w:pgMar w:top="1418" w:right="1134" w:bottom="1418" w:left="1134" w:header="709" w:footer="45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D6" w:rsidRPr="00A340D1" w:rsidRDefault="00772D49" w:rsidP="00A340D1">
    <w:pPr>
      <w:pStyle w:val="Footer"/>
      <w:tabs>
        <w:tab w:val="clear" w:pos="4536"/>
        <w:tab w:val="left" w:pos="1134"/>
      </w:tabs>
      <w:rPr>
        <w:vanish/>
        <w:color w:val="FF0000"/>
      </w:rPr>
    </w:pPr>
    <w:r>
      <w:tab/>
    </w:r>
    <w:r>
      <w:tab/>
    </w:r>
    <w:r w:rsidRPr="00A340D1">
      <w:fldChar w:fldCharType="begin"/>
    </w:r>
    <w:r w:rsidRPr="00A340D1">
      <w:instrText xml:space="preserve">PAGE   \* </w:instrText>
    </w:r>
    <w:r w:rsidRPr="00A340D1">
      <w:instrText>MERGEFORMAT</w:instrText>
    </w:r>
    <w:r w:rsidRPr="00A340D1">
      <w:fldChar w:fldCharType="separate"/>
    </w:r>
    <w:r>
      <w:rPr>
        <w:noProof/>
      </w:rPr>
      <w:t>1</w:t>
    </w:r>
    <w:r w:rsidRPr="00A340D1">
      <w:fldChar w:fldCharType="end"/>
    </w:r>
    <w:r>
      <w:tab/>
    </w:r>
    <w:r w:rsidRPr="00A340D1">
      <w:rPr>
        <w:vanish/>
        <w:color w:val="FF0000"/>
      </w:rPr>
      <w:t xml:space="preserve">Durch Doppelklick auf die Kopf-/Fusszeile gelangt man in </w:t>
    </w:r>
    <w:r>
      <w:rPr>
        <w:vanish/>
        <w:color w:val="FF0000"/>
      </w:rPr>
      <w:tab/>
    </w:r>
    <w:r w:rsidRPr="00A340D1">
      <w:rPr>
        <w:vanish/>
        <w:color w:val="FF0000"/>
      </w:rPr>
      <w:t xml:space="preserve">das Drop-Downfeld im grünen Balken </w:t>
    </w:r>
    <w:r>
      <w:rPr>
        <w:vanish/>
        <w:color w:val="FF0000"/>
      </w:rPr>
      <w:tab/>
    </w:r>
    <w:r w:rsidRPr="00A340D1">
      <w:rPr>
        <w:vanish/>
        <w:color w:val="FF0000"/>
      </w:rPr>
      <w:t>zur Textauswahl „Agenda, Memo Protokoll“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4CD3"/>
    <w:multiLevelType w:val="multilevel"/>
    <w:tmpl w:val="ADA040B4"/>
    <w:lvl w:ilvl="0">
      <w:start w:val="1"/>
      <w:numFmt w:val="decimal"/>
      <w:pStyle w:val="Heading1"/>
      <w:isLgl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">
    <w:nsid w:val="7CFA68B5"/>
    <w:multiLevelType w:val="hybridMultilevel"/>
    <w:tmpl w:val="2A44FF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72D49"/>
    <w:rsid w:val="0023683A"/>
    <w:rsid w:val="00282082"/>
    <w:rsid w:val="004B3BBE"/>
    <w:rsid w:val="00772D49"/>
    <w:rsid w:val="007D6B9E"/>
    <w:rsid w:val="00952FA7"/>
    <w:rsid w:val="00BB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2D49"/>
    <w:pPr>
      <w:spacing w:after="180" w:line="280" w:lineRule="atLeast"/>
      <w:jc w:val="both"/>
    </w:pPr>
    <w:rPr>
      <w:rFonts w:ascii="Arial" w:hAnsi="Arial"/>
      <w:lang w:val="de-DE"/>
    </w:rPr>
  </w:style>
  <w:style w:type="paragraph" w:styleId="Heading1">
    <w:name w:val="heading 1"/>
    <w:basedOn w:val="Normal"/>
    <w:next w:val="Standardtext"/>
    <w:link w:val="Heading1Char"/>
    <w:qFormat/>
    <w:rsid w:val="00772D49"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 w:cstheme="majorBidi"/>
      <w:b/>
      <w:bCs/>
      <w:color w:val="4F81BD" w:themeColor="accent1"/>
      <w:sz w:val="24"/>
      <w:szCs w:val="28"/>
    </w:rPr>
  </w:style>
  <w:style w:type="paragraph" w:styleId="Heading2">
    <w:name w:val="heading 2"/>
    <w:basedOn w:val="Standardtext"/>
    <w:next w:val="Standardtext"/>
    <w:link w:val="Heading2Char"/>
    <w:qFormat/>
    <w:rsid w:val="00772D49"/>
    <w:pPr>
      <w:keepNext/>
      <w:keepLines/>
      <w:numPr>
        <w:ilvl w:val="1"/>
        <w:numId w:val="1"/>
      </w:numPr>
      <w:spacing w:before="360"/>
      <w:jc w:val="left"/>
      <w:outlineLvl w:val="1"/>
    </w:pPr>
    <w:rPr>
      <w:b/>
      <w:color w:val="4F81BD" w:themeColor="accent1"/>
      <w:sz w:val="24"/>
    </w:rPr>
  </w:style>
  <w:style w:type="paragraph" w:styleId="Heading3">
    <w:name w:val="heading 3"/>
    <w:basedOn w:val="Standardtext"/>
    <w:next w:val="Standardtext"/>
    <w:link w:val="Heading3Char"/>
    <w:qFormat/>
    <w:rsid w:val="00772D49"/>
    <w:pPr>
      <w:keepNext/>
      <w:keepLines/>
      <w:numPr>
        <w:ilvl w:val="2"/>
        <w:numId w:val="1"/>
      </w:numPr>
      <w:spacing w:before="360" w:line="260" w:lineRule="atLeast"/>
      <w:jc w:val="left"/>
      <w:outlineLvl w:val="2"/>
    </w:pPr>
    <w:rPr>
      <w:b/>
    </w:rPr>
  </w:style>
  <w:style w:type="paragraph" w:styleId="Heading4">
    <w:name w:val="heading 4"/>
    <w:basedOn w:val="Standardtext"/>
    <w:next w:val="Standardtext"/>
    <w:link w:val="Heading4Char"/>
    <w:qFormat/>
    <w:rsid w:val="00772D49"/>
    <w:pPr>
      <w:keepNext/>
      <w:keepLines/>
      <w:numPr>
        <w:ilvl w:val="3"/>
        <w:numId w:val="1"/>
      </w:numPr>
      <w:spacing w:before="280"/>
      <w:jc w:val="lef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D49"/>
    <w:rPr>
      <w:rFonts w:ascii="Arial" w:eastAsiaTheme="majorEastAsia" w:hAnsi="Arial" w:cstheme="majorBidi"/>
      <w:b/>
      <w:bCs/>
      <w:color w:val="4F81BD" w:themeColor="accent1"/>
      <w:sz w:val="24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rsid w:val="00772D49"/>
    <w:rPr>
      <w:rFonts w:ascii="Arial" w:hAnsi="Arial"/>
      <w:b/>
      <w:color w:val="4F81BD" w:themeColor="accent1"/>
      <w:sz w:val="24"/>
      <w:lang w:val="de-DE"/>
    </w:rPr>
  </w:style>
  <w:style w:type="character" w:customStyle="1" w:styleId="Heading3Char">
    <w:name w:val="Heading 3 Char"/>
    <w:basedOn w:val="DefaultParagraphFont"/>
    <w:link w:val="Heading3"/>
    <w:rsid w:val="00772D49"/>
    <w:rPr>
      <w:rFonts w:ascii="Arial" w:hAnsi="Arial"/>
      <w:b/>
      <w:lang w:val="de-DE"/>
    </w:rPr>
  </w:style>
  <w:style w:type="character" w:customStyle="1" w:styleId="Heading4Char">
    <w:name w:val="Heading 4 Char"/>
    <w:basedOn w:val="DefaultParagraphFont"/>
    <w:link w:val="Heading4"/>
    <w:rsid w:val="00772D49"/>
    <w:rPr>
      <w:rFonts w:ascii="Arial" w:hAnsi="Arial"/>
      <w:b/>
      <w:lang w:val="de-DE"/>
    </w:rPr>
  </w:style>
  <w:style w:type="paragraph" w:styleId="Footer">
    <w:name w:val="footer"/>
    <w:basedOn w:val="Normal"/>
    <w:link w:val="FooterChar"/>
    <w:uiPriority w:val="20"/>
    <w:semiHidden/>
    <w:rsid w:val="00772D49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20"/>
    <w:semiHidden/>
    <w:rsid w:val="00772D49"/>
    <w:rPr>
      <w:rFonts w:ascii="Arial" w:hAnsi="Arial"/>
      <w:sz w:val="18"/>
      <w:lang w:val="de-DE"/>
    </w:rPr>
  </w:style>
  <w:style w:type="paragraph" w:customStyle="1" w:styleId="Standardtext">
    <w:name w:val="Standardtext"/>
    <w:basedOn w:val="Normal"/>
    <w:qFormat/>
    <w:rsid w:val="00772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Enriko Käsper</dc:creator>
  <cp:lastModifiedBy>Enriko Käsper</cp:lastModifiedBy>
  <cp:revision>1</cp:revision>
  <dcterms:created xsi:type="dcterms:W3CDTF">2014-11-06T11:43:00Z</dcterms:created>
  <dcterms:modified xsi:type="dcterms:W3CDTF">2014-11-06T11:43:00Z</dcterms:modified>
</cp:coreProperties>
</file>