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sz w:val="40"/>
          <w:szCs w:val="40"/>
        </w:rPr>
      </w:pP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916000" cy="19050"/>
                <wp:effectExtent l="9525" t="9525" r="9525" b="952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0.05pt;width:229.606pt;height:1.5pt;mso-position-horizontal:center;mso-position-horizontal-relative:margin;mso-position-vertical-relative:line;v-text-anchor:top;mso-wrap-style:square;z-index:251659264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w:t>취업계획 수립 워크시트</w:t>
      </w:r>
    </w:p>
    <w:tbl>
      <w:tblPr>
        <w:tblStyle w:val="a3"/>
        <w:tblW w:w="9634" w:type="dxa"/>
        <w:tblLook w:val="04A0" w:firstRow="1" w:lastRow="0" w:firstColumn="1" w:lastColumn="0" w:noHBand="0" w:noVBand="1"/>
        <w:tblLayout w:type="fixed"/>
      </w:tblPr>
      <w:tblGrid>
        <w:gridCol w:w="988"/>
        <w:gridCol w:w="567"/>
        <w:gridCol w:w="779"/>
        <w:gridCol w:w="4607"/>
        <w:gridCol w:w="2693"/>
      </w:tblGrid>
      <w:tr>
        <w:trPr>
          <w:tblHeader/>
          <w:trHeight w:val="680" w:hRule="atLeast"/>
        </w:trPr>
        <w:tc>
          <w:tcPr>
            <w:tcW w:w="155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일자</w:t>
            </w:r>
          </w:p>
        </w:tc>
        <w:tc>
          <w:tcPr>
            <w:tcW w:w="7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항목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활동내용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결과물(예상)</w:t>
            </w:r>
          </w:p>
        </w:tc>
      </w:tr>
      <w:tr>
        <w:trPr>
          <w:trHeight w:val="2835" w:hRule="atLeast"/>
        </w:trPr>
        <w:tc>
          <w:tcPr>
            <w:tcW w:w="988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6.14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정보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분석</w:t>
            </w:r>
          </w:p>
        </w:tc>
        <w:tc>
          <w:tcPr>
            <w:tcW w:w="46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취업역량 점검 및 계획 수립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Job Expo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참여기업 확인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→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기업별 정보 확인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-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취업계획수립표</w:t>
            </w:r>
          </w:p>
        </w:tc>
      </w:tr>
      <w:tr>
        <w:trPr>
          <w:trHeight w:val="2835" w:hRule="atLeast"/>
        </w:trPr>
        <w:tc>
          <w:tcPr>
            <w:tcW w:w="988" w:type="dxa"/>
            <w:vMerge w:val="continue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정보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분석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/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서류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전형</w:t>
            </w:r>
          </w:p>
        </w:tc>
        <w:tc>
          <w:tcPr>
            <w:tcW w:w="46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Job Expo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기업선정/정보분석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→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정보분석 워크시트 작성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Job Expo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지원서 항목분석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 →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항목별 경험소재 매칭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→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이력사항 작성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정보분석 워크시트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ob Expo </w:t>
            </w: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이력서</w:t>
            </w:r>
          </w:p>
        </w:tc>
      </w:tr>
      <w:tr>
        <w:trPr>
          <w:trHeight w:val="2835" w:hRule="atLeast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6.15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서류전형</w:t>
            </w: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 xml:space="preserve">분석을 바탕으로 자소서 마무리 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서류 제출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자소서 3개 이상</w:t>
            </w:r>
          </w:p>
        </w:tc>
      </w:tr>
      <w:tr>
        <w:trPr>
          <w:trHeight w:val="2835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서류전형</w:t>
            </w: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포트폴리오 피드백 받은것 바탕으로 보완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IT 포트폴리오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6.16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직무면접대비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 1 복기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프로젝트에서 맡은부분 정리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직무면접대비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 2 복기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프로젝트에서 맡은부분 정리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6.17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직무면접대비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 3 복기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sz w:val="24"/>
                <w:szCs w:val="24"/>
                <w:rtl w:val="off"/>
              </w:rPr>
              <w:t>프로젝트에서 맡은부분 정리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/>
                <w:sz w:val="24"/>
                <w:szCs w:val="24"/>
                <w:rtl w:val="off"/>
              </w:rPr>
              <w:t>인성면접대비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잡이룸 인성면접사이트에서 1~10페이지 보고 한문장씩 정리하기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나만의 면접노트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6.18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/>
                <w:sz w:val="24"/>
                <w:szCs w:val="24"/>
                <w:rtl w:val="off"/>
              </w:rPr>
              <w:t>인성면접대비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잡이룸 인성면접사이트에서 10~20페이지 보고 한문장씩 정리하기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나만의 면접노트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/>
                <w:sz w:val="24"/>
                <w:szCs w:val="24"/>
                <w:rtl w:val="off"/>
              </w:rPr>
              <w:t>인성면접대비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잡이룸 인성면접사이트에서 20~30페이지 보고 한문장씩 정리하기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나만의 면접노트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6.21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기업분석/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역량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Test 공부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서류 합격했으면 해당 기업분석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or 백준 알고리즘 풀기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기업분석 노트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역량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Test 공부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백준 알고리즘 풀기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>
        <w:trPr>
          <w:trHeight w:val="3288" w:hRule="atLeast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일차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2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6.22</w:t>
            </w:r>
            <w:r>
              <w:rPr>
                <w:rFonts w:asciiTheme="minorEastAsia" w:eastAsiaTheme="minorEastAsia" w:hAnsiTheme="minorEastAsia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기업분석/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역량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Test 공부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서류 합격했으면 해당 기업분석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or 백준 알고리즘 풀기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기업분석 노트</w:t>
            </w:r>
          </w:p>
        </w:tc>
      </w:tr>
      <w:tr>
        <w:trPr>
          <w:trHeight w:val="3288" w:hRule="atLeast"/>
        </w:trPr>
        <w:tc>
          <w:tcPr>
            <w:tcW w:w="988" w:type="dxa"/>
            <w:vMerge w:val="continue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오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역량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Test 공부</w:t>
            </w:r>
          </w:p>
        </w:tc>
        <w:tc>
          <w:tcPr>
            <w:tcW w:w="4607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4"/>
                <w:szCs w:val="24"/>
                <w:rtl w:val="off"/>
              </w:rPr>
              <w:t>백준 알고리즘 풀기</w:t>
            </w:r>
          </w:p>
        </w:tc>
        <w:tc>
          <w:tcPr>
            <w:tcW w:w="2693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asciiTheme="minorEastAsia" w:eastAsiaTheme="minorEastAsia" w:hAnsiTheme="minorEastAsia"/>
          <w:sz w:val="2"/>
          <w:szCs w:val="2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</w:p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jc w:val="center"/>
        <w:spacing w:after="240"/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</w:pP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1176655</wp:posOffset>
                </wp:positionH>
                <wp:positionV relativeFrom="paragraph">
                  <wp:posOffset>381635</wp:posOffset>
                </wp:positionV>
                <wp:extent cx="3881196" cy="19050"/>
                <wp:effectExtent l="9525" t="9525" r="9525" b="952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1196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2.65pt;margin-top:30.05pt;width:305.606pt;height:1.5pt;mso-position-horizontal-relative:margin;mso-position-vertical-relative:line;v-text-anchor:top;mso-wrap-style:square;z-index:251661312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w:t xml:space="preserve"> </w:t>
      </w: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w:t xml:space="preserve">수료 後 </w:t>
      </w:r>
      <w:r>
        <w:rPr>
          <w:rFonts w:asciiTheme="minorEastAsia" w:eastAsiaTheme="minorEastAsia" w:hAnsiTheme="minorEastAsia"/>
          <w:b/>
          <w:noProof/>
          <w:sz w:val="40"/>
          <w:szCs w:val="4"/>
          <w:kern w:val="0"/>
        </w:rPr>
        <w:t>취업계획 수립 워크시트</w:t>
      </w:r>
    </w:p>
    <w:tbl>
      <w:tblPr>
        <w:tblStyle w:val="a3"/>
        <w:tblW w:w="9640" w:type="dxa"/>
        <w:tblLook w:val="04A0" w:firstRow="1" w:lastRow="0" w:firstColumn="1" w:lastColumn="0" w:noHBand="0" w:noVBand="1"/>
      </w:tblPr>
      <w:tblGrid>
        <w:gridCol w:w="3539"/>
        <w:gridCol w:w="6101"/>
      </w:tblGrid>
      <w:tr>
        <w:trPr>
          <w:trHeight w:val="618" w:hRule="atLeast"/>
        </w:trPr>
        <w:tc>
          <w:tcPr>
            <w:tcW w:w="3539" w:type="dxa"/>
            <w:vAlign w:val="center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희망 직무</w:t>
            </w:r>
          </w:p>
        </w:tc>
        <w:tc>
          <w:tcPr>
            <w:tcW w:w="6101" w:type="dxa"/>
            <w:vAlign w:val="center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/>
                <w:sz w:val="20"/>
                <w:szCs w:val="24"/>
                <w:rtl w:val="off"/>
              </w:rPr>
              <w:t>프론트엔드</w:t>
            </w:r>
          </w:p>
        </w:tc>
      </w:tr>
      <w:tr>
        <w:trPr>
          <w:trHeight w:val="1285" w:hRule="atLeast"/>
        </w:trPr>
        <w:tc>
          <w:tcPr>
            <w:tcW w:w="3539" w:type="dxa"/>
            <w:vAlign w:val="center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타겟 기업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List</w:t>
            </w:r>
          </w:p>
        </w:tc>
        <w:tc>
          <w:tcPr>
            <w:tcW w:w="6101" w:type="dxa"/>
            <w:vAlign w:val="center"/>
          </w:tcPr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4"/>
              </w:rPr>
              <w:t>다날, 비브리지, 스트리미, 스티팝(스타트업), 아토머스, 알체라, 알투비솔루션, 에이젠글로벌</w:t>
            </w:r>
          </w:p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4"/>
              </w:rPr>
              <w:t>이우소프트, 큐리오스튜디오, 한국네트웍스, 디비아이엔씨</w:t>
            </w:r>
          </w:p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4"/>
              </w:rPr>
              <w:t>시큐아이(영어따야댐),  신세계인터내셔날, 지에스홈쇼핑, 포티투마루, 현대오토에버</w:t>
            </w:r>
          </w:p>
          <w:p>
            <w:pPr>
              <w:adjustRightInd/>
              <w:autoSpaceDE w:val="off"/>
              <w:autoSpaceDN w:val="off"/>
              <w:widowControl w:val="off"/>
              <w:kinsoku w:val="off"/>
              <w:wordWrap w:val="off"/>
              <w:overflowPunct w:val="off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</w:p>
        </w:tc>
      </w:tr>
    </w:tbl>
    <w:p>
      <w:pPr>
        <w:adjustRightInd/>
        <w:autoSpaceDE w:val="off"/>
        <w:autoSpaceDN w:val="off"/>
        <w:widowControl w:val="off"/>
        <w:kinsoku w:val="off"/>
        <w:wordWrap w:val="off"/>
        <w:overflowPunct w:val="off"/>
        <w:snapToGrid w:val="0"/>
        <w:spacing w:after="240"/>
        <w:rPr>
          <w:rFonts w:asciiTheme="minorEastAsia" w:eastAsiaTheme="minorEastAsia" w:hAnsiTheme="minorEastAsia"/>
          <w:b/>
          <w:sz w:val="2"/>
          <w:szCs w:val="40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  <w:tblLayout w:type="fixed"/>
      </w:tblPr>
      <w:tblGrid>
        <w:gridCol w:w="1409"/>
        <w:gridCol w:w="2120"/>
        <w:gridCol w:w="4806"/>
        <w:gridCol w:w="1271"/>
      </w:tblGrid>
      <w:tr>
        <w:trPr>
          <w:tblHeader/>
          <w:trHeight w:val="381" w:hRule="atLeast"/>
        </w:trPr>
        <w:tc>
          <w:tcPr>
            <w:tcW w:w="14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항목</w:t>
            </w:r>
          </w:p>
        </w:tc>
        <w:tc>
          <w:tcPr>
            <w:tcW w:w="2120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세부항목</w:t>
            </w:r>
          </w:p>
        </w:tc>
        <w:tc>
          <w:tcPr>
            <w:tcW w:w="4806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활동내용</w:t>
            </w:r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예상 일자</w:t>
            </w:r>
          </w:p>
        </w:tc>
      </w:tr>
      <w:tr>
        <w:trPr>
          <w:trHeight w:val="834" w:hRule="atLeast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정보분석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 xml:space="preserve">타겟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기업분석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기업 홈페이지 확인 및 캐치 활용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~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7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.1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5</w:t>
            </w:r>
          </w:p>
        </w:tc>
      </w:tr>
      <w:tr>
        <w:trPr>
          <w:trHeight w:val="832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832" w:hRule="atLeast"/>
        </w:trPr>
        <w:tc>
          <w:tcPr>
            <w:tcW w:w="1409" w:type="dxa"/>
            <w:vMerge w:val="continue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9" w:hRule="atLeast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서류전형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 xml:space="preserve">타겟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기업 자소서 제출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자소서 제출 </w:t>
            </w:r>
          </w:p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(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항목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성장과정,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프로젝트 경험,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지원동기)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제출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01.25까지!</w:t>
            </w: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9" w:hRule="atLeast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필기전형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역량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Test 공부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백준 풀기 그리디 50문제/ 탐색 50문제/ dp 50문제/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1일 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5문제</w:t>
            </w: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9" w:hRule="atLeast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면접전형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모의면접 상담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취업지원센터 모의면접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상담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 진행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7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.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  <w:rtl w:val="off"/>
              </w:rPr>
              <w:t>01</w:t>
            </w:r>
          </w:p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16:00 </w:t>
            </w: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신청</w:t>
            </w: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>
        <w:trPr>
          <w:trHeight w:val="753" w:hRule="atLeast"/>
        </w:trPr>
        <w:tc>
          <w:tcPr>
            <w:tcW w:w="1409" w:type="dxa"/>
            <w:vMerge w:val="continue"/>
            <w:tcBorders>
              <w:right w:val="single" w:sz="12" w:space="0" w:color="auto"/>
            </w:tcBorders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>
            <w:pPr>
              <w:adjustRightInd/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>
            <w:pPr>
              <w:adjustRightInd/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</w:tbl>
    <w:p>
      <w:pPr>
        <w:rPr>
          <w:rFonts w:asciiTheme="minorEastAsia" w:eastAsiaTheme="minorEastAsia" w:hAnsiTheme="minorEastAsia"/>
          <w:sz w:val="2"/>
          <w:szCs w:val="2"/>
        </w:rPr>
      </w:pPr>
    </w:p>
    <w:sectPr>
      <w:pgSz w:w="11906" w:h="16838"/>
      <w:pgMar w:top="1418" w:right="1134" w:bottom="1418" w:left="1134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바탕체" w:eastAsia="바탕체" w:hAnsi="바탕체" w:cstheme="minorBidi"/>
        <w:sz w:val="28"/>
        <w:szCs w:val="22"/>
        <w:kern w:val="2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rPr>
      <w:szCs w:val="28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line="240" w:lineRule="auto"/>
    </w:pPr>
    <w:rPr>
      <w:szCs w:val="28"/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  <w:rPr>
      <w:szCs w:val="28"/>
      <w:snapToGrid w:val="0"/>
    </w:rPr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  <w:rPr>
      <w:szCs w:val="28"/>
      <w:snapToGrid w:val="0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Balloon Text"/>
    <w:uiPriority w:val="99"/>
    <w:basedOn w:val="a"/>
    <w:link w:val="Char1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  <w:snapToGrid w:val="0"/>
    </w:rPr>
  </w:style>
  <w:style w:type="paragraph" w:styleId="a8">
    <w:name w:val="Date"/>
    <w:uiPriority w:val="99"/>
    <w:basedOn w:val="a"/>
    <w:next w:val="a"/>
    <w:link w:val="Char2"/>
    <w:semiHidden/>
    <w:unhideWhenUsed/>
  </w:style>
  <w:style w:type="character" w:customStyle="1" w:styleId="Char2">
    <w:name w:val="날짜 Char"/>
    <w:uiPriority w:val="99"/>
    <w:basedOn w:val="a0"/>
    <w:link w:val="a8"/>
    <w:semiHidden/>
    <w:rPr>
      <w:szCs w:val="28"/>
      <w:snapToGrid w:val="0"/>
    </w:rPr>
  </w:style>
  <w:style w:type="paragraph" w:customStyle="1" w:styleId="a9">
    <w:name w:val="바탕글"/>
    <w:basedOn w:val="a"/>
    <w:pPr>
      <w:autoSpaceDE w:val="off"/>
      <w:autoSpaceDN w:val="off"/>
      <w:widowControl w:val="off"/>
      <w:wordWrap w:val="off"/>
      <w:jc w:val="both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kern w:val="0"/>
    </w:rPr>
  </w:style>
  <w:style w:type="paragraph" w:customStyle="1" w:styleId="MS">
    <w:name w:val="MS바탕글"/>
    <w:basedOn w:val="a"/>
    <w:pPr>
      <w:autoSpaceDE w:val="off"/>
      <w:autoSpaceDN w:val="off"/>
      <w:snapToGrid w:val="0"/>
      <w:textAlignment w:val="baseline"/>
    </w:pPr>
    <w:rPr>
      <w:rFonts w:ascii="굴림" w:eastAsia="굴림" w:hAnsi="굴림" w:cs="굴림"/>
      <w:color w:val="000000"/>
      <w:kern w:val="0"/>
    </w:rPr>
  </w:style>
  <w:style w:type="table" w:customStyle="1" w:styleId="1">
    <w:name w:val="표 구분선1"/>
    <w:uiPriority w:val="39"/>
    <w:basedOn w:val="a1"/>
    <w:next w:val="a3"/>
    <w:pPr>
      <w:jc w:val="both"/>
      <w:spacing w:line="240" w:lineRule="auto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</cp:revision>
  <dcterms:created xsi:type="dcterms:W3CDTF">2020-12-17T09:09:00Z</dcterms:created>
  <dcterms:modified xsi:type="dcterms:W3CDTF">2021-06-13T10:56:22Z</dcterms:modified>
  <cp:lastPrinted>2019-11-18T09:00:00Z</cp:lastPrinted>
  <cp:version>1000.0100.01</cp:version>
</cp:coreProperties>
</file>