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0"/>
      </w:pPr>
      <w:r>
        <w:rPr>
          <w:rFonts w:ascii="Arial" w:cs="Arial" w:eastAsia="Arial" w:hAnsi="Arial"/>
          <w:b/>
          <w:bCs/>
          <w:caps/>
          <w:color w:val="2E75B6"/>
          <w:sz w:val="17"/>
          <w:szCs w:val="17"/>
        </w:rPr>
        <w:t xml:space="preserve">OPEN UNIVERSITY OF GERMANY  ·  ACADEMIC GOVERNANCE</w:t>
      </w:r>
    </w:p>
    <w:p>
      <w:pPr>
        <w:spacing w:after="50" w:before="0"/>
      </w:pPr>
      <w:r>
        <w:rPr>
          <w:rFonts w:ascii="Arial" w:cs="Arial" w:eastAsia="Arial" w:hAnsi="Arial"/>
          <w:color w:val="AAAAAA"/>
          <w:sz w:val="17"/>
          <w:szCs w:val="17"/>
        </w:rPr>
        <w:t xml:space="preserve">Design Authority  ·  Constitution  ·  First Edition  ·  2026</w:t>
      </w:r>
    </w:p>
    <w:p>
      <w:pPr>
        <w:pBdr>
          <w:bottom w:val="single" w:color="2E75B6" w:sz="8" w:space="1"/>
        </w:pBdr>
        <w:spacing w:after="240" w:before="0"/>
      </w:pPr>
    </w:p>
    <w:p>
      <w:pPr>
        <w:spacing w:after="40" w:before="0"/>
      </w:pPr>
      <w:r>
        <w:rPr>
          <w:rFonts w:ascii="Georgia" w:cs="Georgia" w:eastAsia="Georgia" w:hAnsi="Georgia"/>
          <w:b/>
          <w:bCs/>
          <w:color w:val="0D1F3C"/>
          <w:sz w:val="40"/>
          <w:szCs w:val="40"/>
        </w:rPr>
        <w:t xml:space="preserve">The OUG Design Authority</w:t>
      </w:r>
    </w:p>
    <w:p>
      <w:pPr>
        <w:spacing w:after="280" w:before="0"/>
      </w:pPr>
      <w:r>
        <w:rPr>
          <w:rFonts w:ascii="Georgia" w:cs="Georgia" w:eastAsia="Georgia" w:hAnsi="Georgia"/>
          <w:i/>
          <w:iCs/>
          <w:color w:val="1F3864"/>
          <w:sz w:val="22"/>
          <w:szCs w:val="22"/>
        </w:rPr>
        <w:t xml:space="preserve">Constitution of the body that holds curriculum standard authority at the federation boundary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none"/>
              <w:bottom w:val="none"/>
              <w:right w:val="none"/>
            </w:tcBorders>
            <w:shd w:fill="F4F7FA" w:val="clear"/>
            <w:tcMar>
              <w:top w:type="dxa" w:w="190"/>
              <w:left w:type="dxa" w:w="280"/>
              <w:bottom w:type="dxa" w:w="190"/>
              <w:right w:type="dxa" w:w="280"/>
            </w:tcMar>
          </w:tcPr>
          <w:p>
            <w:pPr>
              <w:spacing w:after="70" w:before="0"/>
            </w:pPr>
            <w:r>
              <w:rPr>
                <w:rFonts w:ascii="Arial" w:cs="Arial" w:eastAsia="Arial" w:hAnsi="Arial"/>
                <w:b/>
                <w:bCs/>
                <w:color w:val="1F3864"/>
                <w:sz w:val="17"/>
                <w:szCs w:val="17"/>
              </w:rPr>
              <w:t xml:space="preserve">What the Design Authority is and why it must exist</w:t>
            </w:r>
          </w:p>
          <w:p>
            <w:pPr>
              <w:spacing w:after="90" w:before="0"/>
              <w:jc w:val="both"/>
            </w:pPr>
            <w:r>
              <w:rPr>
                <w:rFonts w:ascii="Georgia" w:cs="Georgia" w:eastAsia="Georgia" w:hAnsi="Georgia"/>
                <w:color w:val="1A1A1A"/>
                <w:sz w:val="22"/>
                <w:szCs w:val="22"/>
              </w:rPr>
              <w:t xml:space="preserve">The OUG's quality depends on one structural commitment: that the curriculum standard is held centrally and non-negotiably, regardless of how many partners join the federation. In a federated model without this commitment, quality is the average of what the federation will accept. With it, quality is the standard the Design Authority will approve. The Design Authority is the body that holds that standard. Without a constituted Design Authority, the quality gate exists on paper and nowhere else.</w:t>
            </w:r>
          </w:p>
          <w:p>
            <w:pPr>
              <w:spacing w:after="0" w:before="0"/>
              <w:jc w:val="both"/>
            </w:pPr>
            <w:r>
              <w:rPr>
                <w:rFonts w:ascii="Georgia" w:cs="Georgia" w:eastAsia="Georgia" w:hAnsi="Georgia"/>
                <w:i/>
                <w:iCs/>
                <w:color w:val="4A5568"/>
                <w:sz w:val="22"/>
                <w:szCs w:val="22"/>
              </w:rPr>
              <w:t xml:space="preserve">This constitution specifies the founding composition, mandate, decision procedure, and evolution pathway of the Design Authority. It distinguishes the founding body — small, operationally agile, built for the pilot phase — from the full body that will be constituted when the first Mission Hubs reach operational maturity.</w:t>
            </w:r>
          </w:p>
        </w:tc>
      </w:tr>
    </w:tbl>
    <w:p>
      <w:pPr>
        <w:spacing w:after="280" w:before="0"/>
      </w:pPr>
    </w:p>
    <w:p>
      <w:pPr>
        <w:pStyle w:val="Heading1"/>
        <w:spacing w:after="140" w:before="480"/>
      </w:pPr>
      <w:r>
        <w:rPr>
          <w:rFonts w:ascii="Georgia" w:cs="Georgia" w:eastAsia="Georgia" w:hAnsi="Georgia"/>
          <w:b/>
          <w:bCs/>
          <w:color w:val="1F3864"/>
          <w:sz w:val="30"/>
          <w:szCs w:val="30"/>
        </w:rPr>
        <w:t xml:space="preserve">I.  Mandate</w:t>
      </w:r>
    </w:p>
    <w:p>
      <w:pPr>
        <w:spacing w:after="185" w:before="0"/>
        <w:jc w:val="both"/>
      </w:pPr>
      <w:r>
        <w:rPr>
          <w:rFonts w:ascii="Georgia" w:cs="Georgia" w:eastAsia="Georgia" w:hAnsi="Georgia"/>
          <w:b w:val="false"/>
          <w:bCs w:val="false"/>
          <w:i w:val="false"/>
          <w:iCs w:val="false"/>
          <w:color w:val="1A1A1A"/>
          <w:sz w:val="23"/>
          <w:szCs w:val="23"/>
        </w:rPr>
        <w:t xml:space="preserve">The Design Authority holds curriculum standard authority at the OUG. Its mandate is specific and bounded: it determines whether the curriculum design and learning architecture of any module, programme, or partner contribution meets the OUG's published curriculum standard — as specified in the Competency Codebook v10.0, the Didactic Framework, and the Bloom-level progression architecture. It does not govern operational quality (that is the Quality Commission's mandate), research (that is the Mission Hubs'), or partnerships (that is the Partnership Office's). It governs curriculum design quality.</w:t>
      </w:r>
    </w:p>
    <w:p>
      <w:pPr>
        <w:spacing w:after="185" w:before="0"/>
        <w:jc w:val="both"/>
      </w:pPr>
      <w:r>
        <w:rPr>
          <w:rFonts w:ascii="Georgia" w:cs="Georgia" w:eastAsia="Georgia" w:hAnsi="Georgia"/>
          <w:b w:val="false"/>
          <w:bCs w:val="false"/>
          <w:i w:val="false"/>
          <w:iCs w:val="false"/>
          <w:color w:val="1A1A1A"/>
          <w:sz w:val="23"/>
          <w:szCs w:val="23"/>
        </w:rPr>
        <w:t xml:space="preserve">The Design Authority's decisions at the federation boundary are non-negotiable. A partner whose module does not meet the curriculum standard is not admitted to the federation on the basis of commercial or political considerations. The Design Authority's verdict is final within its mandate — it cannot be overruled by G2 executive authority. Appeals go to the Senate (G3), not to the Rector or Chancellor.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left w:val="none"/>
              <w:bottom w:val="none"/>
              <w:right w:val="none"/>
            </w:tcBorders>
            <w:shd w:fill="1A5C4A" w:val="clear"/>
            <w:tcMar>
              <w:top w:type="dxa" w:w="0"/>
              <w:left w:type="dxa" w:w="0"/>
              <w:bottom w:type="dxa" w:w="0"/>
              <w:right w:type="dxa" w:w="0"/>
            </w:tcMar>
          </w:tcPr>
          <w:p/>
        </w:tc>
        <w:tc>
          <w:tcPr>
            <w:tcW w:type="dxa" w:w="8826"/>
            <w:tcBorders>
              <w:top w:val="none"/>
              <w:left w:val="none"/>
              <w:bottom w:val="none"/>
              <w:right w:val="none"/>
            </w:tcBorders>
            <w:shd w:fill="F4F7FA" w:val="clear"/>
            <w:tcMar>
              <w:top w:type="dxa" w:w="160"/>
              <w:left w:type="dxa" w:w="280"/>
              <w:bottom w:type="dxa" w:w="160"/>
              <w:right w:type="dxa" w:w="200"/>
            </w:tcMar>
          </w:tcPr>
          <w:p>
            <w:pPr>
              <w:jc w:val="both"/>
            </w:pPr>
            <w:r>
              <w:rPr>
                <w:rFonts w:ascii="Georgia" w:cs="Georgia" w:eastAsia="Georgia" w:hAnsi="Georgia"/>
                <w:i/>
                <w:iCs/>
                <w:color w:val="1A1A1A"/>
                <w:sz w:val="23"/>
                <w:szCs w:val="23"/>
              </w:rPr>
              <w:t xml:space="preserve">The Design Authority is not a committee that reviews documents. It is the body whose judgment determines whether the OUG's credential means what it claims to mean.</w:t>
            </w:r>
          </w:p>
        </w:tc>
      </w:tr>
    </w:tbl>
    <w:p>
      <w:pPr>
        <w:spacing w:after="200" w:before="0"/>
      </w:pPr>
    </w:p>
    <w:p>
      <w:pPr>
        <w:pBdr>
          <w:bottom w:val="single" w:color="CCCCCC" w:sz="2" w:space="1"/>
        </w:pBdr>
        <w:spacing w:after="200" w:before="200"/>
      </w:pPr>
    </w:p>
    <w:p>
      <w:pPr>
        <w:pStyle w:val="Heading1"/>
        <w:spacing w:after="140" w:before="480"/>
      </w:pPr>
      <w:r>
        <w:rPr>
          <w:rFonts w:ascii="Georgia" w:cs="Georgia" w:eastAsia="Georgia" w:hAnsi="Georgia"/>
          <w:b/>
          <w:bCs/>
          <w:color w:val="1F3864"/>
          <w:sz w:val="30"/>
          <w:szCs w:val="30"/>
        </w:rPr>
        <w:t xml:space="preserve">II.  Founding Composition — Phase 1 Body</w:t>
      </w:r>
    </w:p>
    <w:p>
      <w:pPr>
        <w:spacing w:after="80" w:before="0"/>
        <w:jc w:val="both"/>
      </w:pPr>
      <w:r>
        <w:rPr>
          <w:rFonts w:ascii="Georgia" w:cs="Georgia" w:eastAsia="Georgia" w:hAnsi="Georgia"/>
          <w:b w:val="false"/>
          <w:bCs w:val="false"/>
          <w:i w:val="false"/>
          <w:iCs w:val="false"/>
          <w:color w:val="1A1A1A"/>
          <w:sz w:val="23"/>
          <w:szCs w:val="23"/>
        </w:rPr>
        <w:t xml:space="preserve">The founding Design Authority operates during Phase 1 (Years 1–2) and the transition period through Year 3. It is constituted from the founding leadership team specified in the Five-Year Finance Plan (Section 1.4) — the people who are already inside the institution, who understand the OUG's curriculum architecture from its inception, and who together hold the full range of expertise the curriculum standard requires.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1600"/>
        <w:gridCol w:w="1226"/>
      </w:tblGrid>
      <w:tr>
        <w:tc>
          <w:tcPr>
            <w:tcW w:type="dxa" w:w="2000"/>
            <w:tcBorders>
              <w:top w:val="none"/>
              <w:left w:val="none"/>
              <w:bottom w:val="none"/>
              <w:right w:val="none"/>
            </w:tcBorders>
            <w:shd w:fill="0D1F3C" w:val="clear"/>
            <w:tcMar>
              <w:top w:type="dxa" w:w="65"/>
              <w:left w:type="dxa" w:w="110"/>
              <w:bottom w:type="dxa" w:w="65"/>
              <w:right w:type="dxa" w:w="80"/>
            </w:tcMar>
          </w:tcPr>
          <w:p>
            <w:r>
              <w:rPr>
                <w:rFonts w:ascii="Arial" w:cs="Arial" w:eastAsia="Arial" w:hAnsi="Arial"/>
                <w:b/>
                <w:bCs/>
                <w:color w:val="FFFFFF"/>
                <w:sz w:val="15"/>
                <w:szCs w:val="15"/>
              </w:rPr>
              <w:t xml:space="preserve">Role</w:t>
            </w:r>
          </w:p>
        </w:tc>
        <w:tc>
          <w:tcPr>
            <w:tcW w:type="dxa" w:w="1800"/>
            <w:tcBorders>
              <w:top w:val="none"/>
              <w:left w:val="none"/>
              <w:bottom w:val="none"/>
              <w:right w:val="none"/>
            </w:tcBorders>
            <w:shd w:fill="0D1F3C" w:val="clear"/>
            <w:tcMar>
              <w:top w:type="dxa" w:w="65"/>
              <w:left w:type="dxa" w:w="110"/>
              <w:bottom w:type="dxa" w:w="65"/>
              <w:right w:type="dxa" w:w="80"/>
            </w:tcMar>
          </w:tcPr>
          <w:p>
            <w:r>
              <w:rPr>
                <w:rFonts w:ascii="Arial" w:cs="Arial" w:eastAsia="Arial" w:hAnsi="Arial"/>
                <w:b/>
                <w:bCs/>
                <w:color w:val="FFFFFF"/>
                <w:sz w:val="15"/>
                <w:szCs w:val="15"/>
              </w:rPr>
              <w:t xml:space="preserve">Member</w:t>
            </w:r>
          </w:p>
        </w:tc>
        <w:tc>
          <w:tcPr>
            <w:tcW w:type="dxa" w:w="2400"/>
            <w:tcBorders>
              <w:top w:val="none"/>
              <w:left w:val="none"/>
              <w:bottom w:val="none"/>
              <w:right w:val="none"/>
            </w:tcBorders>
            <w:shd w:fill="0D1F3C" w:val="clear"/>
            <w:tcMar>
              <w:top w:type="dxa" w:w="65"/>
              <w:left w:type="dxa" w:w="110"/>
              <w:bottom w:type="dxa" w:w="65"/>
              <w:right w:type="dxa" w:w="80"/>
            </w:tcMar>
          </w:tcPr>
          <w:p>
            <w:r>
              <w:rPr>
                <w:rFonts w:ascii="Arial" w:cs="Arial" w:eastAsia="Arial" w:hAnsi="Arial"/>
                <w:b/>
                <w:bCs/>
                <w:color w:val="FFFFFF"/>
                <w:sz w:val="15"/>
                <w:szCs w:val="15"/>
              </w:rPr>
              <w:t xml:space="preserve">Mandate in DA</w:t>
            </w:r>
          </w:p>
        </w:tc>
        <w:tc>
          <w:tcPr>
            <w:tcW w:type="dxa" w:w="1600"/>
            <w:tcBorders>
              <w:top w:val="none"/>
              <w:left w:val="none"/>
              <w:bottom w:val="none"/>
              <w:right w:val="none"/>
            </w:tcBorders>
            <w:shd w:fill="0D1F3C" w:val="clear"/>
            <w:tcMar>
              <w:top w:type="dxa" w:w="65"/>
              <w:left w:type="dxa" w:w="110"/>
              <w:bottom w:type="dxa" w:w="65"/>
              <w:right w:type="dxa" w:w="80"/>
            </w:tcMar>
          </w:tcPr>
          <w:p>
            <w:r>
              <w:rPr>
                <w:rFonts w:ascii="Arial" w:cs="Arial" w:eastAsia="Arial" w:hAnsi="Arial"/>
                <w:b/>
                <w:bCs/>
                <w:color w:val="FFFFFF"/>
                <w:sz w:val="15"/>
                <w:szCs w:val="15"/>
              </w:rPr>
              <w:t xml:space="preserve">Appointed by</w:t>
            </w:r>
          </w:p>
        </w:tc>
        <w:tc>
          <w:tcPr>
            <w:tcW w:type="dxa" w:w="1226"/>
            <w:tcBorders>
              <w:top w:val="none"/>
              <w:left w:val="none"/>
              <w:bottom w:val="none"/>
              <w:right w:val="none"/>
            </w:tcBorders>
            <w:shd w:fill="0D1F3C" w:val="clear"/>
            <w:tcMar>
              <w:top w:type="dxa" w:w="65"/>
              <w:left w:type="dxa" w:w="110"/>
              <w:bottom w:type="dxa" w:w="65"/>
              <w:right w:type="dxa" w:w="80"/>
            </w:tcMar>
          </w:tcPr>
          <w:p>
            <w:r>
              <w:rPr>
                <w:rFonts w:ascii="Arial" w:cs="Arial" w:eastAsia="Arial" w:hAnsi="Arial"/>
                <w:b/>
                <w:bCs/>
                <w:color w:val="FFFFFF"/>
                <w:sz w:val="15"/>
                <w:szCs w:val="15"/>
              </w:rPr>
              <w:t xml:space="preserve">Term</w:t>
            </w:r>
          </w:p>
        </w:tc>
      </w:tr>
      <w:tr>
        <w:tc>
          <w:tcPr>
            <w:tcBorders>
              <w:top w:val="single" w:color="DDDDDD" w:sz="1"/>
              <w:left w:val="single" w:color="DDDDDD" w:sz="1"/>
              <w:bottom w:val="single" w:color="DDDDDD" w:sz="1"/>
              <w:right w:val="single" w:color="DDDDDD" w:sz="1"/>
            </w:tcBorders>
            <w:shd w:fill="1F3864" w:val="clear"/>
            <w:tcMar>
              <w:top w:type="dxa" w:w="65"/>
              <w:left w:type="dxa" w:w="110"/>
              <w:bottom w:type="dxa" w:w="65"/>
              <w:right w:type="dxa" w:w="80"/>
            </w:tcMar>
          </w:tcPr>
          <w:p>
            <w:r>
              <w:rPr>
                <w:rFonts w:ascii="Georgia" w:cs="Georgia" w:eastAsia="Georgia" w:hAnsi="Georgia"/>
                <w:b/>
                <w:bCs/>
                <w:color w:val="FFFFFF"/>
                <w:sz w:val="19"/>
                <w:szCs w:val="19"/>
              </w:rPr>
              <w:t xml:space="preserve">DA Chair / President</w:t>
            </w:r>
          </w:p>
        </w:tc>
        <w:tc>
          <w:tcPr>
            <w:tcBorders>
              <w:top w:val="single" w:color="DDDDDD" w:sz="1"/>
              <w:left w:val="single" w:color="DDDDDD" w:sz="1"/>
              <w:bottom w:val="single" w:color="DDDDDD" w:sz="1"/>
              <w:right w:val="single" w:color="DDDDDD" w:sz="1"/>
            </w:tcBorders>
            <w:shd w:fill="FFFFFF" w:val="clear"/>
            <w:tcMar>
              <w:top w:type="dxa" w:w="65"/>
              <w:left w:type="dxa" w:w="110"/>
              <w:bottom w:type="dxa" w:w="65"/>
              <w:right w:type="dxa" w:w="80"/>
            </w:tcMar>
          </w:tcPr>
          <w:p>
            <w:r>
              <w:rPr>
                <w:rFonts w:ascii="Georgia" w:cs="Georgia" w:eastAsia="Georgia" w:hAnsi="Georgia"/>
                <w:color w:val="1A1A1A"/>
                <w:sz w:val="19"/>
                <w:szCs w:val="19"/>
              </w:rPr>
              <w:t xml:space="preserve">Founding President (Rektor)</w:t>
            </w:r>
          </w:p>
        </w:tc>
        <w:tc>
          <w:tcPr>
            <w:tcBorders>
              <w:top w:val="single" w:color="DDDDDD" w:sz="1"/>
              <w:left w:val="single" w:color="DDDDDD" w:sz="1"/>
              <w:bottom w:val="single" w:color="DDDDDD" w:sz="1"/>
              <w:right w:val="single" w:color="DDDDDD" w:sz="1"/>
            </w:tcBorders>
            <w:shd w:fill="FFFFFF" w:val="clear"/>
            <w:tcMar>
              <w:top w:type="dxa" w:w="65"/>
              <w:left w:type="dxa" w:w="110"/>
              <w:bottom w:type="dxa" w:w="65"/>
              <w:right w:type="dxa" w:w="80"/>
            </w:tcMar>
          </w:tcPr>
          <w:p>
            <w:pPr>
              <w:jc w:val="both"/>
            </w:pPr>
            <w:r>
              <w:rPr>
                <w:rFonts w:ascii="Georgia" w:cs="Georgia" w:eastAsia="Georgia" w:hAnsi="Georgia"/>
                <w:i/>
                <w:iCs/>
                <w:color w:val="4A5568"/>
                <w:sz w:val="18"/>
                <w:szCs w:val="18"/>
              </w:rPr>
              <w:t xml:space="preserve">Holds DA mandate authority. Convenes. Final tie-breaking vote. Reports to Senate (G3) on DA decisions.</w:t>
            </w:r>
          </w:p>
        </w:tc>
        <w:tc>
          <w:tcPr>
            <w:tcBorders>
              <w:top w:val="single" w:color="DDDDDD" w:sz="1"/>
              <w:left w:val="single" w:color="DDDDDD" w:sz="1"/>
              <w:bottom w:val="single" w:color="DDDDDD" w:sz="1"/>
              <w:right w:val="single" w:color="DDDDDD" w:sz="1"/>
            </w:tcBorders>
            <w:shd w:fill="FFFFFF" w:val="clear"/>
            <w:tcMar>
              <w:top w:type="dxa" w:w="65"/>
              <w:left w:type="dxa" w:w="110"/>
              <w:bottom w:type="dxa" w:w="65"/>
              <w:right w:type="dxa" w:w="80"/>
            </w:tcMar>
          </w:tcPr>
          <w:p>
            <w:r>
              <w:rPr>
                <w:rFonts w:ascii="Georgia" w:cs="Georgia" w:eastAsia="Georgia" w:hAnsi="Georgia"/>
                <w:color w:val="1A1A1A"/>
                <w:sz w:val="18"/>
                <w:szCs w:val="18"/>
              </w:rPr>
              <w:t xml:space="preserve">Hochschulrat (G1) appointment</w:t>
            </w:r>
          </w:p>
        </w:tc>
        <w:tc>
          <w:tcPr>
            <w:tcBorders>
              <w:top w:val="single" w:color="DDDDDD" w:sz="1"/>
              <w:left w:val="single" w:color="DDDDDD" w:sz="1"/>
              <w:bottom w:val="single" w:color="DDDDDD" w:sz="1"/>
              <w:right w:val="single" w:color="DDDDDD" w:sz="1"/>
            </w:tcBorders>
            <w:shd w:fill="FFFFFF" w:val="clear"/>
            <w:tcMar>
              <w:top w:type="dxa" w:w="65"/>
              <w:left w:type="dxa" w:w="110"/>
              <w:bottom w:type="dxa" w:w="65"/>
              <w:right w:type="dxa" w:w="80"/>
            </w:tcMar>
          </w:tcPr>
          <w:p>
            <w:r>
              <w:rPr>
                <w:rFonts w:ascii="Georgia" w:cs="Georgia" w:eastAsia="Georgia" w:hAnsi="Georgia"/>
                <w:color w:val="1A1A1A"/>
                <w:sz w:val="18"/>
                <w:szCs w:val="18"/>
              </w:rPr>
              <w:t xml:space="preserve">President's term — 4 years renewable once</w:t>
            </w:r>
          </w:p>
        </w:tc>
      </w:tr>
      <w:tr>
        <w:tc>
          <w:tcPr>
            <w:tcBorders>
              <w:top w:val="single" w:color="DDDDDD" w:sz="1"/>
              <w:left w:val="single" w:color="DDDDDD" w:sz="1"/>
              <w:bottom w:val="single" w:color="DDDDDD" w:sz="1"/>
              <w:right w:val="single" w:color="DDDDDD" w:sz="1"/>
            </w:tcBorders>
            <w:shd w:fill="1F3864" w:val="clear"/>
            <w:tcMar>
              <w:top w:type="dxa" w:w="65"/>
              <w:left w:type="dxa" w:w="110"/>
              <w:bottom w:type="dxa" w:w="65"/>
              <w:right w:type="dxa" w:w="80"/>
            </w:tcMar>
          </w:tcPr>
          <w:p>
            <w:r>
              <w:rPr>
                <w:rFonts w:ascii="Georgia" w:cs="Georgia" w:eastAsia="Georgia" w:hAnsi="Georgia"/>
                <w:b/>
                <w:bCs/>
                <w:color w:val="FFFFFF"/>
                <w:sz w:val="19"/>
                <w:szCs w:val="19"/>
              </w:rPr>
              <w:t xml:space="preserve">Curriculum Standard Lead / Chancellor</w:t>
            </w:r>
          </w:p>
        </w:tc>
        <w:tc>
          <w:tcPr>
            <w:tcBorders>
              <w:top w:val="single" w:color="DDDDDD" w:sz="1"/>
              <w:left w:val="single" w:color="DDDDDD" w:sz="1"/>
              <w:bottom w:val="single" w:color="DDDDDD" w:sz="1"/>
              <w:right w:val="single" w:color="DDDDDD" w:sz="1"/>
            </w:tcBorders>
            <w:shd w:fill="F4F7FA" w:val="clear"/>
            <w:tcMar>
              <w:top w:type="dxa" w:w="65"/>
              <w:left w:type="dxa" w:w="110"/>
              <w:bottom w:type="dxa" w:w="65"/>
              <w:right w:type="dxa" w:w="80"/>
            </w:tcMar>
          </w:tcPr>
          <w:p>
            <w:r>
              <w:rPr>
                <w:rFonts w:ascii="Georgia" w:cs="Georgia" w:eastAsia="Georgia" w:hAnsi="Georgia"/>
                <w:color w:val="1A1A1A"/>
                <w:sz w:val="19"/>
                <w:szCs w:val="19"/>
              </w:rPr>
              <w:t xml:space="preserve">Founding Chancellor (Kanzler)</w:t>
            </w:r>
          </w:p>
        </w:tc>
        <w:tc>
          <w:tcPr>
            <w:tcBorders>
              <w:top w:val="single" w:color="DDDDDD" w:sz="1"/>
              <w:left w:val="single" w:color="DDDDDD" w:sz="1"/>
              <w:bottom w:val="single" w:color="DDDDDD" w:sz="1"/>
              <w:right w:val="single" w:color="DDDDDD" w:sz="1"/>
            </w:tcBorders>
            <w:shd w:fill="F4F7FA" w:val="clear"/>
            <w:tcMar>
              <w:top w:type="dxa" w:w="65"/>
              <w:left w:type="dxa" w:w="110"/>
              <w:bottom w:type="dxa" w:w="65"/>
              <w:right w:type="dxa" w:w="80"/>
            </w:tcMar>
          </w:tcPr>
          <w:p>
            <w:pPr>
              <w:jc w:val="both"/>
            </w:pPr>
            <w:r>
              <w:rPr>
                <w:rFonts w:ascii="Georgia" w:cs="Georgia" w:eastAsia="Georgia" w:hAnsi="Georgia"/>
                <w:i/>
                <w:iCs/>
                <w:color w:val="4A5568"/>
                <w:sz w:val="18"/>
                <w:szCs w:val="18"/>
              </w:rPr>
              <w:t xml:space="preserve">Holds the Competency Codebook and Didactic Framework. Governs standard documentation. Ensures Bloom-level compliance.</w:t>
            </w:r>
          </w:p>
        </w:tc>
        <w:tc>
          <w:tcPr>
            <w:tcBorders>
              <w:top w:val="single" w:color="DDDDDD" w:sz="1"/>
              <w:left w:val="single" w:color="DDDDDD" w:sz="1"/>
              <w:bottom w:val="single" w:color="DDDDDD" w:sz="1"/>
              <w:right w:val="single" w:color="DDDDDD" w:sz="1"/>
            </w:tcBorders>
            <w:shd w:fill="F4F7FA" w:val="clear"/>
            <w:tcMar>
              <w:top w:type="dxa" w:w="65"/>
              <w:left w:type="dxa" w:w="110"/>
              <w:bottom w:type="dxa" w:w="65"/>
              <w:right w:type="dxa" w:w="80"/>
            </w:tcMar>
          </w:tcPr>
          <w:p>
            <w:r>
              <w:rPr>
                <w:rFonts w:ascii="Georgia" w:cs="Georgia" w:eastAsia="Georgia" w:hAnsi="Georgia"/>
                <w:color w:val="1A1A1A"/>
                <w:sz w:val="18"/>
                <w:szCs w:val="18"/>
              </w:rPr>
              <w:t xml:space="preserve">Hochschulrat (G1) appointment</w:t>
            </w:r>
          </w:p>
        </w:tc>
        <w:tc>
          <w:tcPr>
            <w:tcBorders>
              <w:top w:val="single" w:color="DDDDDD" w:sz="1"/>
              <w:left w:val="single" w:color="DDDDDD" w:sz="1"/>
              <w:bottom w:val="single" w:color="DDDDDD" w:sz="1"/>
              <w:right w:val="single" w:color="DDDDDD" w:sz="1"/>
            </w:tcBorders>
            <w:shd w:fill="F4F7FA" w:val="clear"/>
            <w:tcMar>
              <w:top w:type="dxa" w:w="65"/>
              <w:left w:type="dxa" w:w="110"/>
              <w:bottom w:type="dxa" w:w="65"/>
              <w:right w:type="dxa" w:w="80"/>
            </w:tcMar>
          </w:tcPr>
          <w:p>
            <w:r>
              <w:rPr>
                <w:rFonts w:ascii="Georgia" w:cs="Georgia" w:eastAsia="Georgia" w:hAnsi="Georgia"/>
                <w:color w:val="1A1A1A"/>
                <w:sz w:val="18"/>
                <w:szCs w:val="18"/>
              </w:rPr>
              <w:t xml:space="preserve">Chancellor's term — 4 years renewable once</w:t>
            </w:r>
          </w:p>
        </w:tc>
      </w:tr>
      <w:tr>
        <w:tc>
          <w:tcPr>
            <w:tcBorders>
              <w:top w:val="single" w:color="DDDDDD" w:sz="1"/>
              <w:left w:val="single" w:color="DDDDDD" w:sz="1"/>
              <w:bottom w:val="single" w:color="DDDDDD" w:sz="1"/>
              <w:right w:val="single" w:color="DDDDDD" w:sz="1"/>
            </w:tcBorders>
            <w:shd w:fill="1F3864" w:val="clear"/>
            <w:tcMar>
              <w:top w:type="dxa" w:w="65"/>
              <w:left w:type="dxa" w:w="110"/>
              <w:bottom w:type="dxa" w:w="65"/>
              <w:right w:type="dxa" w:w="80"/>
            </w:tcMar>
          </w:tcPr>
          <w:p>
            <w:r>
              <w:rPr>
                <w:rFonts w:ascii="Georgia" w:cs="Georgia" w:eastAsia="Georgia" w:hAnsi="Georgia"/>
                <w:b/>
                <w:bCs/>
                <w:color w:val="FFFFFF"/>
                <w:sz w:val="19"/>
                <w:szCs w:val="19"/>
              </w:rPr>
              <w:t xml:space="preserve">Mission Domain Expert — Digital Health</w:t>
            </w:r>
          </w:p>
        </w:tc>
        <w:tc>
          <w:tcPr>
            <w:tcBorders>
              <w:top w:val="single" w:color="DDDDDD" w:sz="1"/>
              <w:left w:val="single" w:color="DDDDDD" w:sz="1"/>
              <w:bottom w:val="single" w:color="DDDDDD" w:sz="1"/>
              <w:right w:val="single" w:color="DDDDDD" w:sz="1"/>
            </w:tcBorders>
            <w:shd w:fill="FFFFFF" w:val="clear"/>
            <w:tcMar>
              <w:top w:type="dxa" w:w="65"/>
              <w:left w:type="dxa" w:w="110"/>
              <w:bottom w:type="dxa" w:w="65"/>
              <w:right w:type="dxa" w:w="80"/>
            </w:tcMar>
          </w:tcPr>
          <w:p>
            <w:r>
              <w:rPr>
                <w:rFonts w:ascii="Georgia" w:cs="Georgia" w:eastAsia="Georgia" w:hAnsi="Georgia"/>
                <w:color w:val="1A1A1A"/>
                <w:sz w:val="19"/>
                <w:szCs w:val="19"/>
              </w:rPr>
              <w:t xml:space="preserve">Dean of Digital Health Mission Hub (W2 Professor)</w:t>
            </w:r>
          </w:p>
        </w:tc>
        <w:tc>
          <w:tcPr>
            <w:tcBorders>
              <w:top w:val="single" w:color="DDDDDD" w:sz="1"/>
              <w:left w:val="single" w:color="DDDDDD" w:sz="1"/>
              <w:bottom w:val="single" w:color="DDDDDD" w:sz="1"/>
              <w:right w:val="single" w:color="DDDDDD" w:sz="1"/>
            </w:tcBorders>
            <w:shd w:fill="FFFFFF" w:val="clear"/>
            <w:tcMar>
              <w:top w:type="dxa" w:w="65"/>
              <w:left w:type="dxa" w:w="110"/>
              <w:bottom w:type="dxa" w:w="65"/>
              <w:right w:type="dxa" w:w="80"/>
            </w:tcMar>
          </w:tcPr>
          <w:p>
            <w:pPr>
              <w:jc w:val="both"/>
            </w:pPr>
            <w:r>
              <w:rPr>
                <w:rFonts w:ascii="Georgia" w:cs="Georgia" w:eastAsia="Georgia" w:hAnsi="Georgia"/>
                <w:i/>
                <w:iCs/>
                <w:color w:val="4A5568"/>
                <w:sz w:val="18"/>
                <w:szCs w:val="18"/>
              </w:rPr>
              <w:t xml:space="preserve">Holds curriculum standard for the Digital Health domain. Assesses partner contributions in health informatics, digital therapeutics, and clinical data domains.</w:t>
            </w:r>
          </w:p>
        </w:tc>
        <w:tc>
          <w:tcPr>
            <w:tcBorders>
              <w:top w:val="single" w:color="DDDDDD" w:sz="1"/>
              <w:left w:val="single" w:color="DDDDDD" w:sz="1"/>
              <w:bottom w:val="single" w:color="DDDDDD" w:sz="1"/>
              <w:right w:val="single" w:color="DDDDDD" w:sz="1"/>
            </w:tcBorders>
            <w:shd w:fill="FFFFFF" w:val="clear"/>
            <w:tcMar>
              <w:top w:type="dxa" w:w="65"/>
              <w:left w:type="dxa" w:w="110"/>
              <w:bottom w:type="dxa" w:w="65"/>
              <w:right w:type="dxa" w:w="80"/>
            </w:tcMar>
          </w:tcPr>
          <w:p>
            <w:r>
              <w:rPr>
                <w:rFonts w:ascii="Georgia" w:cs="Georgia" w:eastAsia="Georgia" w:hAnsi="Georgia"/>
                <w:color w:val="1A1A1A"/>
                <w:sz w:val="18"/>
                <w:szCs w:val="18"/>
              </w:rPr>
              <w:t xml:space="preserve">Senate (G3) on Rector recommendation</w:t>
            </w:r>
          </w:p>
        </w:tc>
        <w:tc>
          <w:tcPr>
            <w:tcBorders>
              <w:top w:val="single" w:color="DDDDDD" w:sz="1"/>
              <w:left w:val="single" w:color="DDDDDD" w:sz="1"/>
              <w:bottom w:val="single" w:color="DDDDDD" w:sz="1"/>
              <w:right w:val="single" w:color="DDDDDD" w:sz="1"/>
            </w:tcBorders>
            <w:shd w:fill="FFFFFF" w:val="clear"/>
            <w:tcMar>
              <w:top w:type="dxa" w:w="65"/>
              <w:left w:type="dxa" w:w="110"/>
              <w:bottom w:type="dxa" w:w="65"/>
              <w:right w:type="dxa" w:w="80"/>
            </w:tcMar>
          </w:tcPr>
          <w:p>
            <w:r>
              <w:rPr>
                <w:rFonts w:ascii="Georgia" w:cs="Georgia" w:eastAsia="Georgia" w:hAnsi="Georgia"/>
                <w:color w:val="1A1A1A"/>
                <w:sz w:val="18"/>
                <w:szCs w:val="18"/>
              </w:rPr>
              <w:t xml:space="preserve">4 years renewable once</w:t>
            </w:r>
          </w:p>
        </w:tc>
      </w:tr>
      <w:tr>
        <w:tc>
          <w:tcPr>
            <w:tcBorders>
              <w:top w:val="single" w:color="DDDDDD" w:sz="1"/>
              <w:left w:val="single" w:color="DDDDDD" w:sz="1"/>
              <w:bottom w:val="single" w:color="DDDDDD" w:sz="1"/>
              <w:right w:val="single" w:color="DDDDDD" w:sz="1"/>
            </w:tcBorders>
            <w:shd w:fill="1F3864" w:val="clear"/>
            <w:tcMar>
              <w:top w:type="dxa" w:w="65"/>
              <w:left w:type="dxa" w:w="110"/>
              <w:bottom w:type="dxa" w:w="65"/>
              <w:right w:type="dxa" w:w="80"/>
            </w:tcMar>
          </w:tcPr>
          <w:p>
            <w:r>
              <w:rPr>
                <w:rFonts w:ascii="Georgia" w:cs="Georgia" w:eastAsia="Georgia" w:hAnsi="Georgia"/>
                <w:b/>
                <w:bCs/>
                <w:color w:val="FFFFFF"/>
                <w:sz w:val="19"/>
                <w:szCs w:val="19"/>
              </w:rPr>
              <w:t xml:space="preserve">Programme Architecture Lead — CS Bachelor</w:t>
            </w:r>
          </w:p>
        </w:tc>
        <w:tc>
          <w:tcPr>
            <w:tcBorders>
              <w:top w:val="single" w:color="DDDDDD" w:sz="1"/>
              <w:left w:val="single" w:color="DDDDDD" w:sz="1"/>
              <w:bottom w:val="single" w:color="DDDDDD" w:sz="1"/>
              <w:right w:val="single" w:color="DDDDDD" w:sz="1"/>
            </w:tcBorders>
            <w:shd w:fill="F4F7FA" w:val="clear"/>
            <w:tcMar>
              <w:top w:type="dxa" w:w="65"/>
              <w:left w:type="dxa" w:w="110"/>
              <w:bottom w:type="dxa" w:w="65"/>
              <w:right w:type="dxa" w:w="80"/>
            </w:tcMar>
          </w:tcPr>
          <w:p>
            <w:r>
              <w:rPr>
                <w:rFonts w:ascii="Georgia" w:cs="Georgia" w:eastAsia="Georgia" w:hAnsi="Georgia"/>
                <w:color w:val="1A1A1A"/>
                <w:sz w:val="19"/>
                <w:szCs w:val="19"/>
              </w:rPr>
              <w:t xml:space="preserve">Programme Lead, Computer Science Bachelor Stackable (W2 Professor)</w:t>
            </w:r>
          </w:p>
        </w:tc>
        <w:tc>
          <w:tcPr>
            <w:tcBorders>
              <w:top w:val="single" w:color="DDDDDD" w:sz="1"/>
              <w:left w:val="single" w:color="DDDDDD" w:sz="1"/>
              <w:bottom w:val="single" w:color="DDDDDD" w:sz="1"/>
              <w:right w:val="single" w:color="DDDDDD" w:sz="1"/>
            </w:tcBorders>
            <w:shd w:fill="F4F7FA" w:val="clear"/>
            <w:tcMar>
              <w:top w:type="dxa" w:w="65"/>
              <w:left w:type="dxa" w:w="110"/>
              <w:bottom w:type="dxa" w:w="65"/>
              <w:right w:type="dxa" w:w="80"/>
            </w:tcMar>
          </w:tcPr>
          <w:p>
            <w:pPr>
              <w:jc w:val="both"/>
            </w:pPr>
            <w:r>
              <w:rPr>
                <w:rFonts w:ascii="Georgia" w:cs="Georgia" w:eastAsia="Georgia" w:hAnsi="Georgia"/>
                <w:i/>
                <w:iCs/>
                <w:color w:val="4A5568"/>
                <w:sz w:val="18"/>
                <w:szCs w:val="18"/>
              </w:rPr>
              <w:t xml:space="preserve">Holds curriculum standard for the CS domain. Assesses stackable credential architecture. Ensures ECTS integrity across module combinations.</w:t>
            </w:r>
          </w:p>
        </w:tc>
        <w:tc>
          <w:tcPr>
            <w:tcBorders>
              <w:top w:val="single" w:color="DDDDDD" w:sz="1"/>
              <w:left w:val="single" w:color="DDDDDD" w:sz="1"/>
              <w:bottom w:val="single" w:color="DDDDDD" w:sz="1"/>
              <w:right w:val="single" w:color="DDDDDD" w:sz="1"/>
            </w:tcBorders>
            <w:shd w:fill="F4F7FA" w:val="clear"/>
            <w:tcMar>
              <w:top w:type="dxa" w:w="65"/>
              <w:left w:type="dxa" w:w="110"/>
              <w:bottom w:type="dxa" w:w="65"/>
              <w:right w:type="dxa" w:w="80"/>
            </w:tcMar>
          </w:tcPr>
          <w:p>
            <w:r>
              <w:rPr>
                <w:rFonts w:ascii="Georgia" w:cs="Georgia" w:eastAsia="Georgia" w:hAnsi="Georgia"/>
                <w:color w:val="1A1A1A"/>
                <w:sz w:val="18"/>
                <w:szCs w:val="18"/>
              </w:rPr>
              <w:t xml:space="preserve">Senate (G3) on Rector recommendation</w:t>
            </w:r>
          </w:p>
        </w:tc>
        <w:tc>
          <w:tcPr>
            <w:tcBorders>
              <w:top w:val="single" w:color="DDDDDD" w:sz="1"/>
              <w:left w:val="single" w:color="DDDDDD" w:sz="1"/>
              <w:bottom w:val="single" w:color="DDDDDD" w:sz="1"/>
              <w:right w:val="single" w:color="DDDDDD" w:sz="1"/>
            </w:tcBorders>
            <w:shd w:fill="F4F7FA" w:val="clear"/>
            <w:tcMar>
              <w:top w:type="dxa" w:w="65"/>
              <w:left w:type="dxa" w:w="110"/>
              <w:bottom w:type="dxa" w:w="65"/>
              <w:right w:type="dxa" w:w="80"/>
            </w:tcMar>
          </w:tcPr>
          <w:p>
            <w:r>
              <w:rPr>
                <w:rFonts w:ascii="Georgia" w:cs="Georgia" w:eastAsia="Georgia" w:hAnsi="Georgia"/>
                <w:color w:val="1A1A1A"/>
                <w:sz w:val="18"/>
                <w:szCs w:val="18"/>
              </w:rPr>
              <w:t xml:space="preserve">4 years renewable once</w:t>
            </w:r>
          </w:p>
        </w:tc>
      </w:tr>
      <w:tr>
        <w:tc>
          <w:tcPr>
            <w:tcBorders>
              <w:top w:val="single" w:color="DDDDDD" w:sz="1"/>
              <w:left w:val="single" w:color="DDDDDD" w:sz="1"/>
              <w:bottom w:val="single" w:color="DDDDDD" w:sz="1"/>
              <w:right w:val="single" w:color="DDDDDD" w:sz="1"/>
            </w:tcBorders>
            <w:shd w:fill="1F3864" w:val="clear"/>
            <w:tcMar>
              <w:top w:type="dxa" w:w="65"/>
              <w:left w:type="dxa" w:w="110"/>
              <w:bottom w:type="dxa" w:w="65"/>
              <w:right w:type="dxa" w:w="80"/>
            </w:tcMar>
          </w:tcPr>
          <w:p>
            <w:r>
              <w:rPr>
                <w:rFonts w:ascii="Georgia" w:cs="Georgia" w:eastAsia="Georgia" w:hAnsi="Georgia"/>
                <w:b/>
                <w:bCs/>
                <w:color w:val="FFFFFF"/>
                <w:sz w:val="19"/>
                <w:szCs w:val="19"/>
              </w:rPr>
              <w:t xml:space="preserve">Head of IT / Enterprise Architect</w:t>
            </w:r>
          </w:p>
        </w:tc>
        <w:tc>
          <w:tcPr>
            <w:tcBorders>
              <w:top w:val="single" w:color="DDDDDD" w:sz="1"/>
              <w:left w:val="single" w:color="DDDDDD" w:sz="1"/>
              <w:bottom w:val="single" w:color="DDDDDD" w:sz="1"/>
              <w:right w:val="single" w:color="DDDDDD" w:sz="1"/>
            </w:tcBorders>
            <w:shd w:fill="FFFFFF" w:val="clear"/>
            <w:tcMar>
              <w:top w:type="dxa" w:w="65"/>
              <w:left w:type="dxa" w:w="110"/>
              <w:bottom w:type="dxa" w:w="65"/>
              <w:right w:type="dxa" w:w="80"/>
            </w:tcMar>
          </w:tcPr>
          <w:p>
            <w:r>
              <w:rPr>
                <w:rFonts w:ascii="Georgia" w:cs="Georgia" w:eastAsia="Georgia" w:hAnsi="Georgia"/>
                <w:color w:val="1A1A1A"/>
                <w:sz w:val="19"/>
                <w:szCs w:val="19"/>
              </w:rPr>
              <w:t xml:space="preserve">Head of IT / Enterprise Architect</w:t>
            </w:r>
          </w:p>
        </w:tc>
        <w:tc>
          <w:tcPr>
            <w:tcBorders>
              <w:top w:val="single" w:color="DDDDDD" w:sz="1"/>
              <w:left w:val="single" w:color="DDDDDD" w:sz="1"/>
              <w:bottom w:val="single" w:color="DDDDDD" w:sz="1"/>
              <w:right w:val="single" w:color="DDDDDD" w:sz="1"/>
            </w:tcBorders>
            <w:shd w:fill="FFFFFF" w:val="clear"/>
            <w:tcMar>
              <w:top w:type="dxa" w:w="65"/>
              <w:left w:type="dxa" w:w="110"/>
              <w:bottom w:type="dxa" w:w="65"/>
              <w:right w:type="dxa" w:w="80"/>
            </w:tcMar>
          </w:tcPr>
          <w:p>
            <w:pPr>
              <w:jc w:val="both"/>
            </w:pPr>
            <w:r>
              <w:rPr>
                <w:rFonts w:ascii="Georgia" w:cs="Georgia" w:eastAsia="Georgia" w:hAnsi="Georgia"/>
                <w:i/>
                <w:iCs/>
                <w:color w:val="4A5568"/>
                <w:sz w:val="18"/>
                <w:szCs w:val="18"/>
              </w:rPr>
              <w:t xml:space="preserve">Technical curriculum compliance: OOAPI v5 format, ESCO competency mapping, platform compatibility of module metadata. Non-voting advisory member.</w:t>
            </w:r>
          </w:p>
        </w:tc>
        <w:tc>
          <w:tcPr>
            <w:tcBorders>
              <w:top w:val="single" w:color="DDDDDD" w:sz="1"/>
              <w:left w:val="single" w:color="DDDDDD" w:sz="1"/>
              <w:bottom w:val="single" w:color="DDDDDD" w:sz="1"/>
              <w:right w:val="single" w:color="DDDDDD" w:sz="1"/>
            </w:tcBorders>
            <w:shd w:fill="FFFFFF" w:val="clear"/>
            <w:tcMar>
              <w:top w:type="dxa" w:w="65"/>
              <w:left w:type="dxa" w:w="110"/>
              <w:bottom w:type="dxa" w:w="65"/>
              <w:right w:type="dxa" w:w="80"/>
            </w:tcMar>
          </w:tcPr>
          <w:p>
            <w:r>
              <w:rPr>
                <w:rFonts w:ascii="Georgia" w:cs="Georgia" w:eastAsia="Georgia" w:hAnsi="Georgia"/>
                <w:color w:val="1A1A1A"/>
                <w:sz w:val="18"/>
                <w:szCs w:val="18"/>
              </w:rPr>
              <w:t xml:space="preserve">Chancellor appointment</w:t>
            </w:r>
          </w:p>
        </w:tc>
        <w:tc>
          <w:tcPr>
            <w:tcBorders>
              <w:top w:val="single" w:color="DDDDDD" w:sz="1"/>
              <w:left w:val="single" w:color="DDDDDD" w:sz="1"/>
              <w:bottom w:val="single" w:color="DDDDDD" w:sz="1"/>
              <w:right w:val="single" w:color="DDDDDD" w:sz="1"/>
            </w:tcBorders>
            <w:shd w:fill="FFFFFF" w:val="clear"/>
            <w:tcMar>
              <w:top w:type="dxa" w:w="65"/>
              <w:left w:type="dxa" w:w="110"/>
              <w:bottom w:type="dxa" w:w="65"/>
              <w:right w:type="dxa" w:w="80"/>
            </w:tcMar>
          </w:tcPr>
          <w:p>
            <w:r>
              <w:rPr>
                <w:rFonts w:ascii="Georgia" w:cs="Georgia" w:eastAsia="Georgia" w:hAnsi="Georgia"/>
                <w:color w:val="1A1A1A"/>
                <w:sz w:val="18"/>
                <w:szCs w:val="18"/>
              </w:rPr>
              <w:t xml:space="preserve">Operational role duration</w:t>
            </w:r>
          </w:p>
        </w:tc>
      </w:tr>
    </w:tbl>
    <w:p>
      <w:pPr>
        <w:spacing w:after="60" w:before="0"/>
      </w:pPr>
    </w:p>
    <w:p>
      <w:pPr>
        <w:spacing w:after="185" w:before="0"/>
        <w:jc w:val="both"/>
      </w:pPr>
      <w:r>
        <w:rPr>
          <w:rFonts w:ascii="Georgia" w:cs="Georgia" w:eastAsia="Georgia" w:hAnsi="Georgia"/>
          <w:b w:val="false"/>
          <w:bCs w:val="false"/>
          <w:i/>
          <w:iCs/>
          <w:color w:val="4A5568"/>
          <w:sz w:val="23"/>
          <w:szCs w:val="23"/>
        </w:rPr>
        <w:t xml:space="preserve">The five core staff roles (Student Services, Admissions/Prüfungsamt, Marketing and Partnerships) support DA operations but are not DA members. They provide operational intelligence — application data, partner onboarding documentation, learner feedback — that informs DA assessments without holding assessment authority.</w:t>
      </w:r>
    </w:p>
    <w:p>
      <w:pPr>
        <w:spacing w:after="200" w:before="0"/>
      </w:pPr>
    </w:p>
    <w:p>
      <w:pPr>
        <w:pBdr>
          <w:bottom w:val="single" w:color="CCCCCC" w:sz="2" w:space="1"/>
        </w:pBdr>
        <w:spacing w:after="200" w:before="200"/>
      </w:pPr>
    </w:p>
    <w:p>
      <w:pPr>
        <w:pStyle w:val="Heading1"/>
        <w:spacing w:after="140" w:before="480"/>
      </w:pPr>
      <w:r>
        <w:rPr>
          <w:rFonts w:ascii="Georgia" w:cs="Georgia" w:eastAsia="Georgia" w:hAnsi="Georgia"/>
          <w:b/>
          <w:bCs/>
          <w:color w:val="1F3864"/>
          <w:sz w:val="30"/>
          <w:szCs w:val="30"/>
        </w:rPr>
        <w:t xml:space="preserve">III.  Decision Procedure</w:t>
      </w:r>
    </w:p>
    <w:p>
      <w:pPr>
        <w:pStyle w:val="Heading3"/>
        <w:spacing w:after="70" w:before="220"/>
      </w:pPr>
      <w:r>
        <w:rPr>
          <w:rFonts w:ascii="Arial" w:cs="Arial" w:eastAsia="Arial" w:hAnsi="Arial"/>
          <w:b/>
          <w:bCs/>
          <w:color w:val="1A5C4A"/>
          <w:sz w:val="21"/>
          <w:szCs w:val="21"/>
        </w:rPr>
        <w:t xml:space="preserve">Eligibility Assessment — Partners</w:t>
      </w:r>
    </w:p>
    <w:p>
      <w:pPr>
        <w:spacing w:after="185" w:before="0"/>
        <w:jc w:val="both"/>
      </w:pPr>
      <w:r>
        <w:rPr>
          <w:rFonts w:ascii="Georgia" w:cs="Georgia" w:eastAsia="Georgia" w:hAnsi="Georgia"/>
          <w:b w:val="false"/>
          <w:bCs w:val="false"/>
          <w:i w:val="false"/>
          <w:iCs w:val="false"/>
          <w:color w:val="1A1A1A"/>
          <w:sz w:val="23"/>
          <w:szCs w:val="23"/>
        </w:rPr>
        <w:t xml:space="preserve">When a partner institution applies to contribute a module or programme to the federation, the DA conducts a three-outcome eligibility assessment within 30 days of receiving a complete application package. The three outcomes are: Eligible (approved for admission — module meets standard), Conditionally Eligible (approved subject to specified modifications — modifications must be completed within 60 days), or Not Eligible (module does not meet standard — applicant may reapply after substantive revision with no time restriction).</w:t>
      </w:r>
    </w:p>
    <w:p>
      <w:pPr>
        <w:spacing w:after="185" w:before="0"/>
        <w:jc w:val="both"/>
      </w:pPr>
      <w:r>
        <w:rPr>
          <w:rFonts w:ascii="Georgia" w:cs="Georgia" w:eastAsia="Georgia" w:hAnsi="Georgia"/>
          <w:b w:val="false"/>
          <w:bCs w:val="false"/>
          <w:i w:val="false"/>
          <w:iCs w:val="false"/>
          <w:color w:val="1A1A1A"/>
          <w:sz w:val="23"/>
          <w:szCs w:val="23"/>
        </w:rPr>
        <w:t xml:space="preserve">The assessment is conducted against five criteria drawn from the Competency Codebook and Didactic Framework: competency specification completeness (are all targeted competencies named and mapped to ESCO?), Bloom-level accuracy (does the module's assessed level match its position in the programme architecture?), assessment design quality (does the assessment method demonstrate the claimed competency rather than test recall of content?), OOAPI v5 compliance (is the module metadata complete and machine-readable?), and didactic unit structure (does the module follow the five-phase Didactic Unit specification?).</w:t>
      </w:r>
    </w:p>
    <w:p>
      <w:pPr>
        <w:pStyle w:val="Heading3"/>
        <w:spacing w:after="70" w:before="220"/>
      </w:pPr>
      <w:r>
        <w:rPr>
          <w:rFonts w:ascii="Arial" w:cs="Arial" w:eastAsia="Arial" w:hAnsi="Arial"/>
          <w:b/>
          <w:bCs/>
          <w:color w:val="1A5C4A"/>
          <w:sz w:val="21"/>
          <w:szCs w:val="21"/>
        </w:rPr>
        <w:t xml:space="preserve">Curriculum Review — Existing Modules</w:t>
      </w:r>
    </w:p>
    <w:p>
      <w:pPr>
        <w:spacing w:after="185" w:before="0"/>
        <w:jc w:val="both"/>
      </w:pPr>
      <w:r>
        <w:rPr>
          <w:rFonts w:ascii="Georgia" w:cs="Georgia" w:eastAsia="Georgia" w:hAnsi="Georgia"/>
          <w:b w:val="false"/>
          <w:bCs w:val="false"/>
          <w:i w:val="false"/>
          <w:iCs w:val="false"/>
          <w:color w:val="1A1A1A"/>
          <w:sz w:val="23"/>
          <w:szCs w:val="23"/>
        </w:rPr>
        <w:t xml:space="preserve">The DA reviews all modules in the federation on a two-year cycle, using the same five criteria. Modules that no longer meet the standard receive a Conditional Retention verdict — the partner has 90 days to bring the module into compliance. Modules that fail a second consecutive review are removed from the federation catalogue. The Quality Commission is notified of all DA decisions and integrates them into its Stichprobe planning.</w:t>
      </w:r>
    </w:p>
    <w:p>
      <w:pPr>
        <w:pStyle w:val="Heading3"/>
        <w:spacing w:after="70" w:before="220"/>
      </w:pPr>
      <w:r>
        <w:rPr>
          <w:rFonts w:ascii="Arial" w:cs="Arial" w:eastAsia="Arial" w:hAnsi="Arial"/>
          <w:b/>
          <w:bCs/>
          <w:color w:val="1A5C4A"/>
          <w:sz w:val="21"/>
          <w:szCs w:val="21"/>
        </w:rPr>
        <w:t xml:space="preserve">Quorum and Voting</w:t>
      </w:r>
    </w:p>
    <w:p>
      <w:pPr>
        <w:spacing w:after="185" w:before="0"/>
        <w:jc w:val="both"/>
      </w:pPr>
      <w:r>
        <w:rPr>
          <w:rFonts w:ascii="Georgia" w:cs="Georgia" w:eastAsia="Georgia" w:hAnsi="Georgia"/>
          <w:b w:val="false"/>
          <w:bCs w:val="false"/>
          <w:i w:val="false"/>
          <w:iCs w:val="false"/>
          <w:color w:val="1A1A1A"/>
          <w:sz w:val="23"/>
          <w:szCs w:val="23"/>
        </w:rPr>
        <w:t xml:space="preserve">DA decisions require a quorum of three members including the DA Chair. Decisions are made by simple majority. The DA Chair has a casting vote in the event of a tie. The Head of IT holds advisory standing — they contribute technical assessment but do not vote on eligibility outcomes. All decisions are recorded in the DA Decision Register maintained by the Chancellor.</w:t>
      </w:r>
    </w:p>
    <w:p>
      <w:pPr>
        <w:spacing w:after="200" w:before="0"/>
      </w:pPr>
    </w:p>
    <w:p>
      <w:pPr>
        <w:pBdr>
          <w:bottom w:val="single" w:color="CCCCCC" w:sz="2" w:space="1"/>
        </w:pBdr>
        <w:spacing w:after="200" w:before="200"/>
      </w:pPr>
    </w:p>
    <w:p>
      <w:pPr>
        <w:pStyle w:val="Heading1"/>
        <w:spacing w:after="140" w:before="480"/>
      </w:pPr>
      <w:r>
        <w:rPr>
          <w:rFonts w:ascii="Georgia" w:cs="Georgia" w:eastAsia="Georgia" w:hAnsi="Georgia"/>
          <w:b/>
          <w:bCs/>
          <w:color w:val="1F3864"/>
          <w:sz w:val="30"/>
          <w:szCs w:val="30"/>
        </w:rPr>
        <w:t xml:space="preserve">IV.  Evolution — From Founding Body to Full Design Authority</w:t>
      </w:r>
    </w:p>
    <w:p>
      <w:pPr>
        <w:spacing w:after="185" w:before="0"/>
        <w:jc w:val="both"/>
      </w:pPr>
      <w:r>
        <w:rPr>
          <w:rFonts w:ascii="Georgia" w:cs="Georgia" w:eastAsia="Georgia" w:hAnsi="Georgia"/>
          <w:b w:val="false"/>
          <w:bCs w:val="false"/>
          <w:i w:val="false"/>
          <w:iCs w:val="false"/>
          <w:color w:val="1A1A1A"/>
          <w:sz w:val="23"/>
          <w:szCs w:val="23"/>
        </w:rPr>
        <w:t xml:space="preserve">The founding DA is sized for the pilot phase — four voting members with deep knowledge of the OUG's founding architecture. As the institution scales, the DA must expand to maintain domain coverage without losing decision quality or speed. The expansion pathway is specified here so that growth is governed rather than accidental.</w:t>
      </w:r>
    </w:p>
    <w:p>
      <w:pPr>
        <w:pStyle w:val="Heading3"/>
        <w:spacing w:after="70" w:before="220"/>
      </w:pPr>
      <w:r>
        <w:rPr>
          <w:rFonts w:ascii="Arial" w:cs="Arial" w:eastAsia="Arial" w:hAnsi="Arial"/>
          <w:b/>
          <w:bCs/>
          <w:color w:val="1A5C4A"/>
          <w:sz w:val="21"/>
          <w:szCs w:val="21"/>
        </w:rPr>
        <w:t xml:space="preserve">Year 3 — First Expansion</w:t>
      </w:r>
    </w:p>
    <w:p>
      <w:pPr>
        <w:spacing w:after="185" w:before="0"/>
        <w:jc w:val="both"/>
      </w:pPr>
      <w:r>
        <w:rPr>
          <w:rFonts w:ascii="Georgia" w:cs="Georgia" w:eastAsia="Georgia" w:hAnsi="Georgia"/>
          <w:b w:val="false"/>
          <w:bCs w:val="false"/>
          <w:i w:val="false"/>
          <w:iCs w:val="false"/>
          <w:color w:val="1A1A1A"/>
          <w:sz w:val="23"/>
          <w:szCs w:val="23"/>
        </w:rPr>
        <w:t xml:space="preserve">When the Dean of Studies joins the institution (Year 2, per the finance plan) and when the third W2 Professor is appointed (Year 3), the DA adds two members: the Dean of Studies as Curriculum Integration Lead (holding the cross-domain coherence mandate) and the third professor in their domain area. The DA becomes a six-member voting body. The President retains the Chair and casting vote.</w:t>
      </w:r>
    </w:p>
    <w:p>
      <w:pPr>
        <w:pStyle w:val="Heading3"/>
        <w:spacing w:after="70" w:before="220"/>
      </w:pPr>
      <w:r>
        <w:rPr>
          <w:rFonts w:ascii="Arial" w:cs="Arial" w:eastAsia="Arial" w:hAnsi="Arial"/>
          <w:b/>
          <w:bCs/>
          <w:color w:val="1A5C4A"/>
          <w:sz w:val="21"/>
          <w:szCs w:val="21"/>
        </w:rPr>
        <w:t xml:space="preserve">Year 4 and Beyond — Full Body</w:t>
      </w:r>
    </w:p>
    <w:p>
      <w:pPr>
        <w:spacing w:after="185" w:before="0"/>
        <w:jc w:val="both"/>
      </w:pPr>
      <w:r>
        <w:rPr>
          <w:rFonts w:ascii="Georgia" w:cs="Georgia" w:eastAsia="Georgia" w:hAnsi="Georgia"/>
          <w:b w:val="false"/>
          <w:bCs w:val="false"/>
          <w:i w:val="false"/>
          <w:iCs w:val="false"/>
          <w:color w:val="1A1A1A"/>
          <w:sz w:val="23"/>
          <w:szCs w:val="23"/>
        </w:rPr>
        <w:t xml:space="preserve">When each Mission Hub reaches operational maturity (defined as: at least three modules admitted to the federation, at least one complete programme pathway active, at least one full Stichprobe cycle completed), the Hub's Academic Steward Lead joins the DA as a voting domain expert for that Hub. The DA is capped at twelve voting members to preserve decision speed. When the cap is reached, domain representation rotates on a two-year cycle, with continuity ensured by the permanent Chancellor and President seats.</w:t>
      </w:r>
    </w:p>
    <w:p>
      <w:pPr>
        <w:pStyle w:val="Heading3"/>
        <w:spacing w:after="70" w:before="220"/>
      </w:pPr>
      <w:r>
        <w:rPr>
          <w:rFonts w:ascii="Arial" w:cs="Arial" w:eastAsia="Arial" w:hAnsi="Arial"/>
          <w:b/>
          <w:bCs/>
          <w:color w:val="1A5C4A"/>
          <w:sz w:val="21"/>
          <w:szCs w:val="21"/>
        </w:rPr>
        <w:t xml:space="preserve">Succession</w:t>
      </w:r>
    </w:p>
    <w:p>
      <w:pPr>
        <w:spacing w:after="185" w:before="0"/>
        <w:jc w:val="both"/>
      </w:pPr>
      <w:r>
        <w:rPr>
          <w:rFonts w:ascii="Georgia" w:cs="Georgia" w:eastAsia="Georgia" w:hAnsi="Georgia"/>
          <w:b w:val="false"/>
          <w:bCs w:val="false"/>
          <w:i w:val="false"/>
          <w:iCs w:val="false"/>
          <w:color w:val="1A1A1A"/>
          <w:sz w:val="23"/>
          <w:szCs w:val="23"/>
        </w:rPr>
        <w:t xml:space="preserve">When a founding DA member's term ends, their successor is appointed through the same process specified for their role — Senate (G3) appointment on Rector recommendation for academic members, Hochschulrat appointment for the President and Chancellor. The outgoing member produces a DA Handover Document naming the three most significant curriculum standard decisions of their term, the active Conditionally Eligible cases in their domain, and the emerging curriculum architecture questions their successor will need to engage with immediately.</w:t>
      </w:r>
    </w:p>
    <w:p>
      <w:pPr>
        <w:spacing w:after="200" w:before="0"/>
      </w:pPr>
    </w:p>
    <w:p>
      <w:pPr>
        <w:pBdr>
          <w:bottom w:val="single" w:color="CCCCCC" w:sz="2" w:space="1"/>
        </w:pBdr>
        <w:spacing w:after="200" w:before="200"/>
      </w:pPr>
    </w:p>
    <w:p>
      <w:pPr>
        <w:pStyle w:val="Heading1"/>
        <w:spacing w:after="140" w:before="480"/>
      </w:pPr>
      <w:r>
        <w:rPr>
          <w:rFonts w:ascii="Georgia" w:cs="Georgia" w:eastAsia="Georgia" w:hAnsi="Georgia"/>
          <w:b/>
          <w:bCs/>
          <w:color w:val="1F3864"/>
          <w:sz w:val="30"/>
          <w:szCs w:val="30"/>
        </w:rPr>
        <w:t xml:space="preserve">V.  Relationship to Other Governance Bodies</w:t>
      </w:r>
    </w:p>
    <w:p>
      <w:pPr>
        <w:spacing w:after="185" w:before="0"/>
        <w:jc w:val="both"/>
      </w:pPr>
      <w:r>
        <w:rPr>
          <w:rFonts w:ascii="Georgia" w:cs="Georgia" w:eastAsia="Georgia" w:hAnsi="Georgia"/>
          <w:b w:val="false"/>
          <w:bCs w:val="false"/>
          <w:i w:val="false"/>
          <w:iCs w:val="false"/>
          <w:color w:val="1A1A1A"/>
          <w:sz w:val="23"/>
          <w:szCs w:val="23"/>
        </w:rPr>
        <w:t xml:space="preserve">The Design Authority operates within G3 (Academic and Quality Governance) and is accountable to the Senate. It reports to the Senate at each semester meeting with a summary of decisions taken, partners assessed, and any systemic curriculum standard concerns identified. The Senate may instruct the DA to review a specific area of the curriculum standard but may not override individual DA eligibility decisions — those go through the appeals process.</w:t>
      </w:r>
    </w:p>
    <w:p>
      <w:pPr>
        <w:spacing w:after="185" w:before="0"/>
        <w:jc w:val="both"/>
      </w:pPr>
      <w:r>
        <w:rPr>
          <w:rFonts w:ascii="Georgia" w:cs="Georgia" w:eastAsia="Georgia" w:hAnsi="Georgia"/>
          <w:b w:val="false"/>
          <w:bCs w:val="false"/>
          <w:i w:val="false"/>
          <w:iCs w:val="false"/>
          <w:color w:val="1A1A1A"/>
          <w:sz w:val="23"/>
          <w:szCs w:val="23"/>
        </w:rPr>
        <w:t xml:space="preserve">The Quality Commission and the Design Authority are complementary rather than overlapping. The DA assesses design quality at the point of admission and at the two-year review cycle. The Quality Commission assesses delivery quality through the ongoing Stichprobe. A module that passes DA assessment and then fails the Stichprobe is a delivery quality problem, not a design quality problem — the two bodies coordinate their findings but maintain their separate mandates.</w:t>
      </w:r>
    </w:p>
    <w:p>
      <w:pPr>
        <w:spacing w:after="185" w:before="0"/>
        <w:jc w:val="both"/>
      </w:pPr>
      <w:r>
        <w:rPr>
          <w:rFonts w:ascii="Georgia" w:cs="Georgia" w:eastAsia="Georgia" w:hAnsi="Georgia"/>
          <w:b w:val="false"/>
          <w:bCs w:val="false"/>
          <w:i w:val="false"/>
          <w:iCs w:val="false"/>
          <w:color w:val="1A1A1A"/>
          <w:sz w:val="23"/>
          <w:szCs w:val="23"/>
        </w:rPr>
        <w:t xml:space="preserve">The Partnership Office manages the partner relationship. The Design Authority manages the curriculum standard. When a partner receives a Not Eligible or Conditional Retention verdict, the Partnership Office is responsible for the relationship conversation. The DA is not a partner-facing body — its decisions are communicated through the Partnership Office.</w:t>
      </w:r>
    </w:p>
    <w:p>
      <w:pPr>
        <w:spacing w:after="200" w:before="0"/>
      </w:pPr>
    </w:p>
    <w:p>
      <w:pPr>
        <w:pBdr>
          <w:bottom w:val="single" w:color="2E75B6" w:sz="4" w:space="1"/>
        </w:pBdr>
        <w:spacing w:after="120" w:before="0"/>
      </w:pPr>
    </w:p>
    <w:p>
      <w:pPr>
        <w:pBdr>
          <w:bottom w:val="single" w:color="2E75B6" w:sz="4" w:space="1"/>
        </w:pBdr>
        <w:spacing w:after="120" w:before="200"/>
      </w:pPr>
    </w:p>
    <w:p>
      <w:pPr>
        <w:spacing w:after="0" w:before="120"/>
        <w:jc w:val="right"/>
      </w:pPr>
      <w:r>
        <w:rPr>
          <w:rFonts w:ascii="Arial" w:cs="Arial" w:eastAsia="Arial" w:hAnsi="Arial"/>
          <w:i/>
          <w:iCs/>
          <w:color w:val="BBBBBB"/>
          <w:sz w:val="16"/>
          <w:szCs w:val="16"/>
        </w:rPr>
        <w:t xml:space="preserve">Open University of Germany  ·  Design Authority  ·  Constitution  ·  First Edition  ·  2026</w:t>
      </w:r>
    </w:p>
    <w:sectPr>
      <w:pgSz w:w="11906" w:h="16838" w:orient="portrait"/>
      <w:pgMar w:top="1300" w:right="1440" w:bottom="14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Georgia" w:cs="Georgia" w:eastAsia="Georgia" w:hAnsi="Georgia"/>
        <w:b/>
        <w:bCs/>
        <w:color w:val="2E75B6"/>
        <w:sz w:val="23"/>
        <w:szCs w:val="23"/>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80"/>
      <w:outlineLvl w:val="0"/>
    </w:pPr>
    <w:rPr>
      <w:rFonts w:ascii="Georgia" w:cs="Georgia" w:eastAsia="Georgia" w:hAnsi="Georgia"/>
      <w:b/>
      <w:bCs/>
      <w:color w:val="1F3864"/>
      <w:sz w:val="30"/>
      <w:szCs w:val="30"/>
    </w:rPr>
  </w:style>
  <w:style w:type="paragraph" w:styleId="Heading2">
    <w:name w:val="Heading 2"/>
    <w:basedOn w:val="Normal"/>
    <w:next w:val="Normal"/>
    <w:qFormat/>
    <w:pPr>
      <w:spacing w:after="100" w:before="300"/>
      <w:outlineLvl w:val="1"/>
    </w:pPr>
    <w:rPr>
      <w:rFonts w:ascii="Georgia" w:cs="Georgia" w:eastAsia="Georgia" w:hAnsi="Georgia"/>
      <w:b/>
      <w:bCs/>
      <w:color w:val="2E75B6"/>
      <w:sz w:val="25"/>
      <w:szCs w:val="25"/>
    </w:rPr>
  </w:style>
  <w:style w:type="paragraph" w:styleId="Heading3">
    <w:name w:val="Heading 3"/>
    <w:basedOn w:val="Normal"/>
    <w:next w:val="Normal"/>
    <w:qFormat/>
    <w:pPr>
      <w:spacing w:after="70" w:before="220"/>
      <w:outlineLvl w:val="2"/>
    </w:pPr>
    <w:rPr>
      <w:rFonts w:ascii="Arial" w:cs="Arial" w:eastAsia="Arial" w:hAnsi="Arial"/>
      <w:b/>
      <w:bCs/>
      <w:color w:val="1A5C4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2026-06-03T08:25:45.098Z</dcterms:created>
  <dcterms:modified xsi:type="dcterms:W3CDTF">2026-06-03T08:25:45.110Z</dcterms:modified>
</cp:coreProperties>
</file>

<file path=docProps/custom.xml><?xml version="1.0" encoding="utf-8"?>
<Properties xmlns="http://schemas.openxmlformats.org/officeDocument/2006/custom-properties" xmlns:vt="http://schemas.openxmlformats.org/officeDocument/2006/docPropsVTypes"/>
</file>