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aps/>
          <w:color w:val="2E75B6"/>
          <w:sz w:val="17"/>
          <w:szCs w:val="17"/>
        </w:rPr>
        <w:t xml:space="preserve">OPEN UNIVERSITY OF GERMANY</w:t>
      </w:r>
    </w:p>
    <w:p>
      <w:pPr>
        <w:spacing w:before="0" w:after="60"/>
        <w:jc w:val="left"/>
      </w:pPr>
      <w:r>
        <w:rPr>
          <w:rFonts w:ascii="Arial" w:cs="Arial" w:eastAsia="Arial" w:hAnsi="Arial"/>
          <w:color w:val="AAAAAA"/>
          <w:sz w:val="17"/>
          <w:szCs w:val="17"/>
        </w:rPr>
        <w:t xml:space="preserve">Governance Assessment  ·  2026</w:t>
      </w:r>
    </w:p>
    <w:p>
      <w:pPr>
        <w:pBdr>
          <w:bottom w:val="single" w:color="2E75B6" w:sz="10" w:space="1"/>
        </w:pBdr>
        <w:spacing w:before="0" w:after="280"/>
      </w:pPr>
    </w:p>
    <w:p>
      <w:pPr>
        <w:spacing w:before="0" w:after="80"/>
        <w:jc w:val="left"/>
      </w:pPr>
      <w:r>
        <w:rPr>
          <w:rFonts w:ascii="Georgia" w:cs="Georgia" w:eastAsia="Georgia" w:hAnsi="Georgia"/>
          <w:b/>
          <w:bCs/>
          <w:color w:val="0D1F3C"/>
          <w:sz w:val="50"/>
          <w:szCs w:val="50"/>
        </w:rPr>
        <w:t xml:space="preserve">Does the OUG Design
Pass the Test?</w:t>
      </w:r>
    </w:p>
    <w:p>
      <w:pPr>
        <w:spacing w:before="0" w:after="60"/>
        <w:jc w:val="left"/>
      </w:pPr>
      <w:r>
        <w:rPr>
          <w:rFonts w:ascii="Georgia" w:cs="Georgia" w:eastAsia="Georgia" w:hAnsi="Georgia"/>
          <w:i/>
          <w:iCs/>
          <w:color w:val="2E75B6"/>
          <w:sz w:val="25"/>
          <w:szCs w:val="25"/>
        </w:rPr>
        <w:t xml:space="preserve">A systematic assessment of OUG governance against the unified principles
derived from the expert dialogues with Person 1 and Person 2</w:t>
      </w:r>
    </w:p>
    <w:p>
      <w:pPr>
        <w:spacing w:before="0" w:after="2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spacing w:before="0" w:after="80"/>
            </w:pPr>
            <w:r>
              <w:rPr>
                <w:rFonts w:ascii="Arial" w:cs="Arial" w:eastAsia="Arial" w:hAnsi="Arial"/>
                <w:b/>
                <w:bCs/>
                <w:caps/>
                <w:color w:val="1F3864"/>
                <w:sz w:val="19"/>
                <w:szCs w:val="19"/>
              </w:rPr>
              <w:t xml:space="preserve">Purpose of this Document</w:t>
            </w:r>
          </w:p>
          <w:p>
            <w:pPr>
              <w:spacing w:before="0" w:after="0"/>
              <w:jc w:val="both"/>
            </w:pPr>
            <w:r>
              <w:rPr>
                <w:rFonts w:ascii="Georgia" w:cs="Georgia" w:eastAsia="Georgia" w:hAnsi="Georgia"/>
                <w:i/>
                <w:iCs/>
                <w:color w:val="1A1A1A"/>
                <w:sz w:val="22"/>
                <w:szCs w:val="22"/>
              </w:rPr>
              <w:t xml:space="preserve">This document applies the unified governance principles derived from two expert dialogues — Person 1 (on collegial governance, role clarity, and institutional learning) and Person 2 (on system architecture, participatory strategy, and adaptive execution) — to the existing OUG institutional design. For each principle, it assesses whether the OUG's current documents provide a credible, institutionally grounded response; identifies where responses are partial; and names the gaps that require action. The assessment is honest: not all principles are fully addressed, and the gaps are as important as the strengths.</w:t>
            </w:r>
          </w:p>
        </w:tc>
      </w:tr>
    </w:tbl>
    <w:p>
      <w:pPr>
        <w:spacing w:before="0" w:after="320"/>
      </w:pPr>
    </w:p>
    <w:p>
      <w:pPr>
        <w:pStyle w:val="Heading1"/>
        <w:spacing w:before="480" w:after="140"/>
      </w:pPr>
      <w:r>
        <w:rPr>
          <w:rFonts w:ascii="Georgia" w:cs="Georgia" w:eastAsia="Georgia" w:hAnsi="Georgia"/>
          <w:b/>
          <w:bCs/>
          <w:color w:val="1F3864"/>
          <w:sz w:val="30"/>
          <w:szCs w:val="30"/>
        </w:rPr>
        <w:t xml:space="preserve">I.  The Unified Principle Set</w:t>
      </w:r>
    </w:p>
    <w:p>
      <w:pPr>
        <w:spacing w:before="0" w:after="185"/>
        <w:ind/>
        <w:jc w:val="both"/>
      </w:pPr>
      <w:r>
        <w:rPr>
          <w:rFonts w:ascii="Georgia" w:cs="Georgia" w:eastAsia="Georgia" w:hAnsi="Georgia"/>
          <w:b w:val="false"/>
          <w:bCs w:val="false"/>
          <w:i w:val="false"/>
          <w:iCs w:val="false"/>
          <w:color w:val="1A1A1A"/>
          <w:sz w:val="23"/>
          <w:szCs w:val="23"/>
        </w:rPr>
        <w:t xml:space="preserve">Person 1 contributed eight governance principles focused primarily on the internal life of an institution: the avoidance of silos, the necessity of collegial governance, the importance of role clarity, checks and balances against power concentration, the professionalisation of leadership, regular evaluation, term limits, and the university as a socially embedded institution.</w:t>
      </w:r>
    </w:p>
    <w:p>
      <w:pPr>
        <w:spacing w:before="0" w:after="185"/>
        <w:ind/>
        <w:jc w:val="both"/>
      </w:pPr>
      <w:r>
        <w:rPr>
          <w:rFonts w:ascii="Georgia" w:cs="Georgia" w:eastAsia="Georgia" w:hAnsi="Georgia"/>
          <w:b w:val="false"/>
          <w:bCs w:val="false"/>
          <w:i w:val="false"/>
          <w:iCs w:val="false"/>
          <w:color w:val="1A1A1A"/>
          <w:sz w:val="23"/>
          <w:szCs w:val="23"/>
        </w:rPr>
        <w:t xml:space="preserve">Person 2 contributed nine principles drawn from practice-based experience with strategy formation at scale: layered system alignment, distributed and staged decision-making, participatory strategy formation, strategic clarity and feasibility, continuous feedback and adaptive execution, transformation-oriented performance management, committees as distributed intelligence, multi-directional information flow, and innovation through triangulation.</w:t>
      </w:r>
    </w:p>
    <w:p>
      <w:pPr>
        <w:spacing w:before="0" w:after="185"/>
        <w:ind/>
        <w:jc w:val="both"/>
      </w:pPr>
      <w:r>
        <w:rPr>
          <w:rFonts w:ascii="Georgia" w:cs="Georgia" w:eastAsia="Georgia" w:hAnsi="Georgia"/>
          <w:b w:val="false"/>
          <w:bCs w:val="false"/>
          <w:i w:val="false"/>
          <w:iCs w:val="false"/>
          <w:color w:val="1A1A1A"/>
          <w:sz w:val="23"/>
          <w:szCs w:val="23"/>
        </w:rPr>
        <w:t xml:space="preserve">Across both dialogues, twelve unified principles emerge. Some are distinct; others converge from different directions on the same institutional requirement. The twelve are listed below and assessed in the sections that follow.</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P1</w:t>
            </w:r>
          </w:p>
        </w:tc>
        <w:tc>
          <w:tcPr>
            <w:tcW w:type="dxa" w:w="854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Georgia" w:cs="Georgia" w:eastAsia="Georgia" w:hAnsi="Georgia"/>
                <w:color w:val="1A1A1A"/>
                <w:sz w:val="22"/>
                <w:szCs w:val="22"/>
              </w:rPr>
              <w:t xml:space="preserve">Layered System Alignment — governance, strategy, and execution are coherently interconnected</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P2</w:t>
            </w:r>
          </w:p>
        </w:tc>
        <w:tc>
          <w:tcPr>
            <w:tcW w:type="dxa" w:w="8546"/>
            <w:tcBorders>
              <w:top w:val="single" w:color="DDDDDD" w:sz="1"/>
              <w:left w:val="single" w:color="DDDDDD" w:sz="1"/>
              <w:bottom w:val="single" w:color="DDDDDD" w:sz="1"/>
              <w:right w:val="single" w:color="DDDDDD" w:sz="1"/>
            </w:tcBorders>
            <w:shd w:fill="F4F7FA" w:val="clear"/>
            <w:tcMar>
              <w:top w:type="dxa" w:w="80"/>
              <w:left w:type="dxa" w:w="160"/>
              <w:bottom w:type="dxa" w:w="80"/>
              <w:right w:type="dxa" w:w="120"/>
            </w:tcMar>
          </w:tcPr>
          <w:p>
            <w:r>
              <w:rPr>
                <w:rFonts w:ascii="Georgia" w:cs="Georgia" w:eastAsia="Georgia" w:hAnsi="Georgia"/>
                <w:color w:val="1A1A1A"/>
                <w:sz w:val="22"/>
                <w:szCs w:val="22"/>
              </w:rPr>
              <w:t xml:space="preserve">Distributed and Staged Decision-Making — no single actor holds unilateral authority</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P3</w:t>
            </w:r>
          </w:p>
        </w:tc>
        <w:tc>
          <w:tcPr>
            <w:tcW w:type="dxa" w:w="854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Georgia" w:cs="Georgia" w:eastAsia="Georgia" w:hAnsi="Georgia"/>
                <w:color w:val="1A1A1A"/>
                <w:sz w:val="22"/>
                <w:szCs w:val="22"/>
              </w:rPr>
              <w:t xml:space="preserve">Collegial Governance — decisions emerge from shared responsibility, not hierarchy or status</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P4</w:t>
            </w:r>
          </w:p>
        </w:tc>
        <w:tc>
          <w:tcPr>
            <w:tcW w:type="dxa" w:w="8546"/>
            <w:tcBorders>
              <w:top w:val="single" w:color="DDDDDD" w:sz="1"/>
              <w:left w:val="single" w:color="DDDDDD" w:sz="1"/>
              <w:bottom w:val="single" w:color="DDDDDD" w:sz="1"/>
              <w:right w:val="single" w:color="DDDDDD" w:sz="1"/>
            </w:tcBorders>
            <w:shd w:fill="F4F7FA" w:val="clear"/>
            <w:tcMar>
              <w:top w:type="dxa" w:w="80"/>
              <w:left w:type="dxa" w:w="160"/>
              <w:bottom w:type="dxa" w:w="80"/>
              <w:right w:type="dxa" w:w="120"/>
            </w:tcMar>
          </w:tcPr>
          <w:p>
            <w:r>
              <w:rPr>
                <w:rFonts w:ascii="Georgia" w:cs="Georgia" w:eastAsia="Georgia" w:hAnsi="Georgia"/>
                <w:color w:val="1A1A1A"/>
                <w:sz w:val="22"/>
                <w:szCs w:val="22"/>
              </w:rPr>
              <w:t xml:space="preserve">Participatory Strategy Formation — strategy is built with practitioners, not delivered to them</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P5</w:t>
            </w:r>
          </w:p>
        </w:tc>
        <w:tc>
          <w:tcPr>
            <w:tcW w:type="dxa" w:w="854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Georgia" w:cs="Georgia" w:eastAsia="Georgia" w:hAnsi="Georgia"/>
                <w:color w:val="1A1A1A"/>
                <w:sz w:val="22"/>
                <w:szCs w:val="22"/>
              </w:rPr>
              <w:t xml:space="preserve">Strategic Clarity and Feasibility — goals are reduced to a manageable, measurable set</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P6</w:t>
            </w:r>
          </w:p>
        </w:tc>
        <w:tc>
          <w:tcPr>
            <w:tcW w:type="dxa" w:w="8546"/>
            <w:tcBorders>
              <w:top w:val="single" w:color="DDDDDD" w:sz="1"/>
              <w:left w:val="single" w:color="DDDDDD" w:sz="1"/>
              <w:bottom w:val="single" w:color="DDDDDD" w:sz="1"/>
              <w:right w:val="single" w:color="DDDDDD" w:sz="1"/>
            </w:tcBorders>
            <w:shd w:fill="F4F7FA" w:val="clear"/>
            <w:tcMar>
              <w:top w:type="dxa" w:w="80"/>
              <w:left w:type="dxa" w:w="160"/>
              <w:bottom w:type="dxa" w:w="80"/>
              <w:right w:type="dxa" w:w="120"/>
            </w:tcMar>
          </w:tcPr>
          <w:p>
            <w:r>
              <w:rPr>
                <w:rFonts w:ascii="Georgia" w:cs="Georgia" w:eastAsia="Georgia" w:hAnsi="Georgia"/>
                <w:color w:val="1A1A1A"/>
                <w:sz w:val="22"/>
                <w:szCs w:val="22"/>
              </w:rPr>
              <w:t xml:space="preserve">Continuous Feedback and Adaptive Execution — implementation generates structured correction loops</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P7</w:t>
            </w:r>
          </w:p>
        </w:tc>
        <w:tc>
          <w:tcPr>
            <w:tcW w:type="dxa" w:w="854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Georgia" w:cs="Georgia" w:eastAsia="Georgia" w:hAnsi="Georgia"/>
                <w:color w:val="1A1A1A"/>
                <w:sz w:val="22"/>
                <w:szCs w:val="22"/>
              </w:rPr>
              <w:t xml:space="preserve">Transformation-Oriented Performance Management — OKRs over KPIs; institution governs for progression</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P8</w:t>
            </w:r>
          </w:p>
        </w:tc>
        <w:tc>
          <w:tcPr>
            <w:tcW w:type="dxa" w:w="8546"/>
            <w:tcBorders>
              <w:top w:val="single" w:color="DDDDDD" w:sz="1"/>
              <w:left w:val="single" w:color="DDDDDD" w:sz="1"/>
              <w:bottom w:val="single" w:color="DDDDDD" w:sz="1"/>
              <w:right w:val="single" w:color="DDDDDD" w:sz="1"/>
            </w:tcBorders>
            <w:shd w:fill="F4F7FA" w:val="clear"/>
            <w:tcMar>
              <w:top w:type="dxa" w:w="80"/>
              <w:left w:type="dxa" w:w="160"/>
              <w:bottom w:type="dxa" w:w="80"/>
              <w:right w:type="dxa" w:w="120"/>
            </w:tcMar>
          </w:tcPr>
          <w:p>
            <w:r>
              <w:rPr>
                <w:rFonts w:ascii="Georgia" w:cs="Georgia" w:eastAsia="Georgia" w:hAnsi="Georgia"/>
                <w:color w:val="1A1A1A"/>
                <w:sz w:val="22"/>
                <w:szCs w:val="22"/>
              </w:rPr>
              <w:t xml:space="preserve">Committees as Distributed Intelligence — committees are expert nodes, not bureaucratic overhead</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P9</w:t>
            </w:r>
          </w:p>
        </w:tc>
        <w:tc>
          <w:tcPr>
            <w:tcW w:type="dxa" w:w="854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Georgia" w:cs="Georgia" w:eastAsia="Georgia" w:hAnsi="Georgia"/>
                <w:color w:val="1A1A1A"/>
                <w:sz w:val="22"/>
                <w:szCs w:val="22"/>
              </w:rPr>
              <w:t xml:space="preserve">Role Clarity and Mandate Transparency — all roles are explicitly defined with bounded authority</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P10</w:t>
            </w:r>
          </w:p>
        </w:tc>
        <w:tc>
          <w:tcPr>
            <w:tcW w:type="dxa" w:w="8546"/>
            <w:tcBorders>
              <w:top w:val="single" w:color="DDDDDD" w:sz="1"/>
              <w:left w:val="single" w:color="DDDDDD" w:sz="1"/>
              <w:bottom w:val="single" w:color="DDDDDD" w:sz="1"/>
              <w:right w:val="single" w:color="DDDDDD" w:sz="1"/>
            </w:tcBorders>
            <w:shd w:fill="F4F7FA" w:val="clear"/>
            <w:tcMar>
              <w:top w:type="dxa" w:w="80"/>
              <w:left w:type="dxa" w:w="160"/>
              <w:bottom w:type="dxa" w:w="80"/>
              <w:right w:type="dxa" w:w="120"/>
            </w:tcMar>
          </w:tcPr>
          <w:p>
            <w:r>
              <w:rPr>
                <w:rFonts w:ascii="Georgia" w:cs="Georgia" w:eastAsia="Georgia" w:hAnsi="Georgia"/>
                <w:color w:val="1A1A1A"/>
                <w:sz w:val="22"/>
                <w:szCs w:val="22"/>
              </w:rPr>
              <w:t xml:space="preserve">Checks and Balances — structural mechanisms prevent power concentration in any single role</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P11</w:t>
            </w:r>
          </w:p>
        </w:tc>
        <w:tc>
          <w:tcPr>
            <w:tcW w:type="dxa" w:w="854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Georgia" w:cs="Georgia" w:eastAsia="Georgia" w:hAnsi="Georgia"/>
                <w:color w:val="1A1A1A"/>
                <w:sz w:val="22"/>
                <w:szCs w:val="22"/>
              </w:rPr>
              <w:t xml:space="preserve">Professionalisation of Leadership and Term Limits — leadership is a learnable, bounded role</w:t>
            </w:r>
          </w:p>
        </w:tc>
      </w:tr>
      <w:tr>
        <w:tc>
          <w:tcPr>
            <w:tcW w:type="dxa" w:w="48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2E75B6"/>
                <w:sz w:val="18"/>
                <w:szCs w:val="18"/>
              </w:rPr>
              <w:t xml:space="preserve">P12</w:t>
            </w:r>
          </w:p>
        </w:tc>
        <w:tc>
          <w:tcPr>
            <w:tcW w:type="dxa" w:w="8546"/>
            <w:tcBorders>
              <w:top w:val="single" w:color="DDDDDD" w:sz="1"/>
              <w:left w:val="single" w:color="DDDDDD" w:sz="1"/>
              <w:bottom w:val="single" w:color="DDDDDD" w:sz="1"/>
              <w:right w:val="single" w:color="DDDDDD" w:sz="1"/>
            </w:tcBorders>
            <w:shd w:fill="F4F7FA" w:val="clear"/>
            <w:tcMar>
              <w:top w:type="dxa" w:w="80"/>
              <w:left w:type="dxa" w:w="160"/>
              <w:bottom w:type="dxa" w:w="80"/>
              <w:right w:type="dxa" w:w="120"/>
            </w:tcMar>
          </w:tcPr>
          <w:p>
            <w:r>
              <w:rPr>
                <w:rFonts w:ascii="Georgia" w:cs="Georgia" w:eastAsia="Georgia" w:hAnsi="Georgia"/>
                <w:color w:val="1A1A1A"/>
                <w:sz w:val="22"/>
                <w:szCs w:val="22"/>
              </w:rPr>
              <w:t xml:space="preserve">University as Socially Embedded, Adaptive Institution — governance responds to societal change</w:t>
            </w:r>
          </w:p>
        </w:tc>
      </w:tr>
    </w:tbl>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II.  Principle-by-Principle Assessment</w:t>
      </w:r>
    </w:p>
    <w:p>
      <w:pPr>
        <w:spacing w:before="0" w:after="185"/>
        <w:ind/>
        <w:jc w:val="both"/>
      </w:pPr>
      <w:r>
        <w:rPr>
          <w:rFonts w:ascii="Georgia" w:cs="Georgia" w:eastAsia="Georgia" w:hAnsi="Georgia"/>
          <w:b w:val="false"/>
          <w:bCs w:val="false"/>
          <w:i w:val="false"/>
          <w:iCs w:val="false"/>
          <w:color w:val="1A1A1A"/>
          <w:sz w:val="23"/>
          <w:szCs w:val="23"/>
        </w:rPr>
        <w:t xml:space="preserve">Each principle is assessed against the OUG's institutional documents: the Grundordnung, Strategic Constitution, Governance Architecture, Portfolio Governance Framework, Leadership &amp; Stewardship Profiles, Quality Assurance Framework, Federation &amp; Membership Framework, Academic Community Charter, Research &amp; Doctoral Framework, and Federated Participation &amp; Incentive Framework.</w:t>
      </w:r>
    </w:p>
    <w:p>
      <w:pPr>
        <w:spacing w:before="0" w:after="185"/>
        <w:ind/>
        <w:jc w:val="both"/>
      </w:pPr>
      <w:r>
        <w:rPr>
          <w:rFonts w:ascii="Georgia" w:cs="Georgia" w:eastAsia="Georgia" w:hAnsi="Georgia"/>
          <w:b w:val="false"/>
          <w:bCs w:val="false"/>
          <w:i w:val="false"/>
          <w:iCs w:val="false"/>
          <w:color w:val="1A1A1A"/>
          <w:sz w:val="23"/>
          <w:szCs w:val="23"/>
        </w:rPr>
        <w:t xml:space="preserve">Three verdicts are used. Strong Alignment means the principle is explicitly addressed, institutionally anchored, and coherently connected to other documents. Partial means the principle is present in intention but not yet fully operationalised. Gap means the principle is absent or only nominally present and requires a specific institutional response.</w:t>
      </w: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P1  </w:t>
            </w:r>
            <w:r>
              <w:rPr>
                <w:rFonts w:ascii="Georgia" w:cs="Georgia" w:eastAsia="Georgia" w:hAnsi="Georgia"/>
                <w:b/>
                <w:bCs/>
                <w:color w:val="FFFFFF"/>
                <w:sz w:val="21"/>
                <w:szCs w:val="21"/>
              </w:rPr>
              <w:t xml:space="preserve">Layered System Alignment</w:t>
            </w:r>
          </w:p>
          <w:p>
            <w:pPr>
              <w:spacing w:before="30" w:after="0"/>
            </w:pPr>
            <w:r>
              <w:rPr>
                <w:rFonts w:ascii="Arial" w:cs="Arial" w:eastAsia="Arial" w:hAnsi="Arial"/>
                <w:i/>
                <w:iCs/>
                <w:color w:val="8899BB"/>
                <w:sz w:val="16"/>
                <w:szCs w:val="16"/>
              </w:rPr>
              <w:t xml:space="preserve">Sources: Person 2 · Governance Architecture · Strategic Constitution</w:t>
            </w:r>
          </w:p>
        </w:tc>
      </w:tr>
      <w:tr>
        <w:tc>
          <w:tcPr>
            <w:tcW w:type="dxa" w:w="9026"/>
            <w:tcBorders>
              <w:top w:val="none"/>
              <w:left w:val="none"/>
              <w:bottom w:val="none"/>
              <w:right w:val="none"/>
            </w:tcBorders>
            <w:shd w:fill="EAF5EE" w:val="clear"/>
            <w:tcMar>
              <w:top w:type="dxa" w:w="80"/>
              <w:left w:type="dxa" w:w="200"/>
              <w:bottom w:type="dxa" w:w="80"/>
              <w:right w:type="dxa" w:w="160"/>
            </w:tcMar>
          </w:tcPr>
          <w:p>
            <w:r>
              <w:rPr>
                <w:rFonts w:ascii="Arial" w:cs="Arial" w:eastAsia="Arial" w:hAnsi="Arial"/>
                <w:b/>
                <w:bCs/>
                <w:caps/>
                <w:color w:val="1A5C38"/>
                <w:sz w:val="17"/>
                <w:szCs w:val="17"/>
              </w:rPr>
              <w:t xml:space="preserve">●  STRONG ALIGNMENT</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OUG's four-layer governance architecture (G1 Constitutional Stewardship, G2 Strategic Steering, G3 Academic &amp; Quality Governance, G4 Operational Execution) is one of its most developed design features. Each layer has a defined domain, and the constitutional insulation of G3 from G2 financial pressure is a particularly strong implementation of the layering principle. The Portfolio Governance Framework adds a further structural layer by classifying decisions according to institutional reach, ensuring that change management is itself governed by the architecture.</w:t>
            </w:r>
          </w:p>
        </w:tc>
      </w:tr>
      <w:tr>
        <w:tc>
          <w:tcPr>
            <w:tcW w:type="dxa" w:w="9026"/>
            <w:tcBorders>
              <w:top w:val="none"/>
              <w:left w:val="none"/>
              <w:bottom w:val="none"/>
              <w:right w:val="none"/>
            </w:tcBorders>
            <w:shd w:fill="EAF5EE" w:val="clear"/>
            <w:tcMar>
              <w:top w:type="dxa" w:w="100"/>
              <w:left w:type="dxa" w:w="200"/>
              <w:bottom w:type="dxa" w:w="120"/>
              <w:right w:type="dxa" w:w="160"/>
            </w:tcMar>
          </w:tcPr>
          <w:p>
            <w:pPr>
              <w:spacing w:before="0" w:after="50"/>
            </w:pPr>
            <w:r>
              <w:rPr>
                <w:rFonts w:ascii="Arial" w:cs="Arial" w:eastAsia="Arial" w:hAnsi="Arial"/>
                <w:b/>
                <w:bCs/>
                <w:caps/>
                <w:color w:val="1A5C38"/>
                <w:sz w:val="16"/>
                <w:szCs w:val="16"/>
              </w:rPr>
              <w:t xml:space="preserve">Why it holds</w:t>
            </w:r>
          </w:p>
          <w:p>
            <w:pPr>
              <w:spacing w:before="0" w:after="0"/>
              <w:jc w:val="both"/>
            </w:pPr>
            <w:r>
              <w:rPr>
                <w:rFonts w:ascii="Georgia" w:cs="Georgia" w:eastAsia="Georgia" w:hAnsi="Georgia"/>
                <w:color w:val="1A1A1A"/>
                <w:sz w:val="22"/>
                <w:szCs w:val="22"/>
              </w:rPr>
              <w:t xml:space="preserve">The architecture is well-designed. The remaining risk is one of implementation: a layer model only functions if the boundaries between layers are actually respected in practice. The OUG lacks an explicit governance health review mechanism — a periodic assessment of whether layers are functioning as designed and whether boundary violations are occurring. This is not a structural gap but an operational one.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P2  </w:t>
            </w:r>
            <w:r>
              <w:rPr>
                <w:rFonts w:ascii="Georgia" w:cs="Georgia" w:eastAsia="Georgia" w:hAnsi="Georgia"/>
                <w:b/>
                <w:bCs/>
                <w:color w:val="FFFFFF"/>
                <w:sz w:val="21"/>
                <w:szCs w:val="21"/>
              </w:rPr>
              <w:t xml:space="preserve">Distributed and Staged Decision-Making</w:t>
            </w:r>
          </w:p>
          <w:p>
            <w:pPr>
              <w:spacing w:before="30" w:after="0"/>
            </w:pPr>
            <w:r>
              <w:rPr>
                <w:rFonts w:ascii="Arial" w:cs="Arial" w:eastAsia="Arial" w:hAnsi="Arial"/>
                <w:i/>
                <w:iCs/>
                <w:color w:val="8899BB"/>
                <w:sz w:val="16"/>
                <w:szCs w:val="16"/>
              </w:rPr>
              <w:t xml:space="preserve">Sources: Person 1 &amp; 2 · Governance Architecture · Portfolio Governance Framework</w:t>
            </w:r>
          </w:p>
        </w:tc>
      </w:tr>
      <w:tr>
        <w:tc>
          <w:tcPr>
            <w:tcW w:type="dxa" w:w="9026"/>
            <w:tcBorders>
              <w:top w:val="none"/>
              <w:left w:val="none"/>
              <w:bottom w:val="none"/>
              <w:right w:val="none"/>
            </w:tcBorders>
            <w:shd w:fill="EAF5EE" w:val="clear"/>
            <w:tcMar>
              <w:top w:type="dxa" w:w="80"/>
              <w:left w:type="dxa" w:w="200"/>
              <w:bottom w:type="dxa" w:w="80"/>
              <w:right w:type="dxa" w:w="160"/>
            </w:tcMar>
          </w:tcPr>
          <w:p>
            <w:r>
              <w:rPr>
                <w:rFonts w:ascii="Arial" w:cs="Arial" w:eastAsia="Arial" w:hAnsi="Arial"/>
                <w:b/>
                <w:bCs/>
                <w:caps/>
                <w:color w:val="1A5C38"/>
                <w:sz w:val="17"/>
                <w:szCs w:val="17"/>
              </w:rPr>
              <w:t xml:space="preserve">●  STRONG ALIGNMENT</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prepared decision model is clearly present in the OUG design. The Portfolio Governance Framework establishes four change classes (A through D) that route decisions through appropriate governance levels depending on their institutional reach. G3 cannot be overridden by G2 on academic matters. The Federation &amp; Membership Framework distributes teaching authority to partners while centralising degree authority at OUG. These are concrete structural implementations of distributed, staged decision-making.</w:t>
            </w:r>
          </w:p>
        </w:tc>
      </w:tr>
      <w:tr>
        <w:tc>
          <w:tcPr>
            <w:tcW w:type="dxa" w:w="9026"/>
            <w:tcBorders>
              <w:top w:val="none"/>
              <w:left w:val="none"/>
              <w:bottom w:val="none"/>
              <w:right w:val="none"/>
            </w:tcBorders>
            <w:shd w:fill="EAF5EE" w:val="clear"/>
            <w:tcMar>
              <w:top w:type="dxa" w:w="100"/>
              <w:left w:type="dxa" w:w="200"/>
              <w:bottom w:type="dxa" w:w="120"/>
              <w:right w:type="dxa" w:w="160"/>
            </w:tcMar>
          </w:tcPr>
          <w:p>
            <w:pPr>
              <w:spacing w:before="0" w:after="50"/>
            </w:pPr>
            <w:r>
              <w:rPr>
                <w:rFonts w:ascii="Arial" w:cs="Arial" w:eastAsia="Arial" w:hAnsi="Arial"/>
                <w:b/>
                <w:bCs/>
                <w:caps/>
                <w:color w:val="1A5C38"/>
                <w:sz w:val="16"/>
                <w:szCs w:val="16"/>
              </w:rPr>
              <w:t xml:space="preserve">Why it holds</w:t>
            </w:r>
          </w:p>
          <w:p>
            <w:pPr>
              <w:spacing w:before="0" w:after="0"/>
              <w:jc w:val="both"/>
            </w:pPr>
            <w:r>
              <w:rPr>
                <w:rFonts w:ascii="Georgia" w:cs="Georgia" w:eastAsia="Georgia" w:hAnsi="Georgia"/>
                <w:color w:val="1A1A1A"/>
                <w:sz w:val="22"/>
                <w:szCs w:val="22"/>
              </w:rPr>
              <w:t xml:space="preserve">The distribution is well-designed for structural decisions. What is less developed is the handling of fast-cycle operational decisions — situations where the staged process may be too slow for the pace of execution required. A lightweight fast-track procedure for G4-level decisions with time-bounded escalation rights would strengthen this without compromising the architecture.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P3  </w:t>
            </w:r>
            <w:r>
              <w:rPr>
                <w:rFonts w:ascii="Georgia" w:cs="Georgia" w:eastAsia="Georgia" w:hAnsi="Georgia"/>
                <w:b/>
                <w:bCs/>
                <w:color w:val="FFFFFF"/>
                <w:sz w:val="21"/>
                <w:szCs w:val="21"/>
              </w:rPr>
              <w:t xml:space="preserve">Collegial Governance</w:t>
            </w:r>
          </w:p>
          <w:p>
            <w:pPr>
              <w:spacing w:before="30" w:after="0"/>
            </w:pPr>
            <w:r>
              <w:rPr>
                <w:rFonts w:ascii="Arial" w:cs="Arial" w:eastAsia="Arial" w:hAnsi="Arial"/>
                <w:i/>
                <w:iCs/>
                <w:color w:val="8899BB"/>
                <w:sz w:val="16"/>
                <w:szCs w:val="16"/>
              </w:rPr>
              <w:t xml:space="preserve">Sources: Person 1 · Academic Community Charter · Governance Architecture</w:t>
            </w:r>
          </w:p>
        </w:tc>
      </w:tr>
      <w:tr>
        <w:tc>
          <w:tcPr>
            <w:tcW w:type="dxa" w:w="9026"/>
            <w:tcBorders>
              <w:top w:val="none"/>
              <w:left w:val="none"/>
              <w:bottom w:val="none"/>
              <w:right w:val="none"/>
            </w:tcBorders>
            <w:shd w:fill="FDF6EC" w:val="clear"/>
            <w:tcMar>
              <w:top w:type="dxa" w:w="80"/>
              <w:left w:type="dxa" w:w="200"/>
              <w:bottom w:type="dxa" w:w="80"/>
              <w:right w:type="dxa" w:w="160"/>
            </w:tcMar>
          </w:tcPr>
          <w:p>
            <w:r>
              <w:rPr>
                <w:rFonts w:ascii="Arial" w:cs="Arial" w:eastAsia="Arial" w:hAnsi="Arial"/>
                <w:b/>
                <w:bCs/>
                <w:caps/>
                <w:color w:val="7A4A00"/>
                <w:sz w:val="17"/>
                <w:szCs w:val="17"/>
              </w:rPr>
              <w:t xml:space="preserve">●  PARTIAL — NEEDS WORK</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Academic Community Charter explicitly addresses collegial governance and commits to meaningful student and academic contributor participation in Senate and programme committees. The principle that no single person dominates academic decisions is upheld through the G3 independence requirement and the Senate composition. The language of collegial governance is present throughout the OUG documents.</w:t>
            </w:r>
          </w:p>
        </w:tc>
      </w:tr>
      <w:tr>
        <w:tc>
          <w:tcPr>
            <w:tcW w:type="dxa" w:w="9026"/>
            <w:tcBorders>
              <w:top w:val="none"/>
              <w:left w:val="none"/>
              <w:bottom w:val="none"/>
              <w:right w:val="none"/>
            </w:tcBorders>
            <w:shd w:fill="FDF6EC" w:val="clear"/>
            <w:tcMar>
              <w:top w:type="dxa" w:w="100"/>
              <w:left w:type="dxa" w:w="200"/>
              <w:bottom w:type="dxa" w:w="120"/>
              <w:right w:type="dxa" w:w="160"/>
            </w:tcMar>
          </w:tcPr>
          <w:p>
            <w:pPr>
              <w:spacing w:before="0" w:after="50"/>
            </w:pPr>
            <w:r>
              <w:rPr>
                <w:rFonts w:ascii="Arial" w:cs="Arial" w:eastAsia="Arial" w:hAnsi="Arial"/>
                <w:b/>
                <w:bCs/>
                <w:caps/>
                <w:color w:val="7A4A00"/>
                <w:sz w:val="16"/>
                <w:szCs w:val="16"/>
              </w:rPr>
              <w:t xml:space="preserve">Gap / Action needed</w:t>
            </w:r>
          </w:p>
          <w:p>
            <w:pPr>
              <w:spacing w:before="0" w:after="0"/>
              <w:jc w:val="both"/>
            </w:pPr>
            <w:r>
              <w:rPr>
                <w:rFonts w:ascii="Georgia" w:cs="Georgia" w:eastAsia="Georgia" w:hAnsi="Georgia"/>
                <w:color w:val="1A1A1A"/>
                <w:sz w:val="22"/>
                <w:szCs w:val="22"/>
              </w:rPr>
              <w:t xml:space="preserve">The gap is cultural rather than structural. Collegial governance is declared but the mechanisms for sustaining it — against institutional pressures toward efficiency, against the accumulation of informal influence by well-positioned individuals — are not fully specified. Person 1's warning about Standesdünkel and status-based hierarchy applies to federated institutions as much as traditional ones. The OUG needs an explicit cultural norm document or code of conduct that operationalises what collegial behaviour looks like in a distributed, digital institution — including in online governance interactions, where collegial tone is harder to maintain.</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P4  </w:t>
            </w:r>
            <w:r>
              <w:rPr>
                <w:rFonts w:ascii="Georgia" w:cs="Georgia" w:eastAsia="Georgia" w:hAnsi="Georgia"/>
                <w:b/>
                <w:bCs/>
                <w:color w:val="FFFFFF"/>
                <w:sz w:val="21"/>
                <w:szCs w:val="21"/>
              </w:rPr>
              <w:t xml:space="preserve">Participatory Strategy Formation</w:t>
            </w:r>
          </w:p>
          <w:p>
            <w:pPr>
              <w:spacing w:before="30" w:after="0"/>
            </w:pPr>
            <w:r>
              <w:rPr>
                <w:rFonts w:ascii="Arial" w:cs="Arial" w:eastAsia="Arial" w:hAnsi="Arial"/>
                <w:i/>
                <w:iCs/>
                <w:color w:val="8899BB"/>
                <w:sz w:val="16"/>
                <w:szCs w:val="16"/>
              </w:rPr>
              <w:t xml:space="preserve">Sources: Person 2 · Strategic Constitution · Governance Architecture</w:t>
            </w:r>
          </w:p>
        </w:tc>
      </w:tr>
      <w:tr>
        <w:tc>
          <w:tcPr>
            <w:tcW w:type="dxa" w:w="9026"/>
            <w:tcBorders>
              <w:top w:val="none"/>
              <w:left w:val="none"/>
              <w:bottom w:val="none"/>
              <w:right w:val="none"/>
            </w:tcBorders>
            <w:shd w:fill="FAF0EE" w:val="clear"/>
            <w:tcMar>
              <w:top w:type="dxa" w:w="80"/>
              <w:left w:type="dxa" w:w="200"/>
              <w:bottom w:type="dxa" w:w="80"/>
              <w:right w:type="dxa" w:w="160"/>
            </w:tcMar>
          </w:tcPr>
          <w:p>
            <w:r>
              <w:rPr>
                <w:rFonts w:ascii="Arial" w:cs="Arial" w:eastAsia="Arial" w:hAnsi="Arial"/>
                <w:b/>
                <w:bCs/>
                <w:caps/>
                <w:color w:val="8B1A1A"/>
                <w:sz w:val="17"/>
                <w:szCs w:val="17"/>
              </w:rPr>
              <w:t xml:space="preserve">●  GAP — ACTION NEEDED</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Strategic Constitution establishes that the OUG has a strategy and that it is governed through the G1 and G2 layers. The Governance Architecture defines how strategy is implemented. But neither document — nor any other in the current stack — describes how strategy is formed. There is no participatory strategy formation process. No harvesting phase. No iterative validation with practitioners. No description of how the people who will implement strategy contribute to its creation.</w:t>
            </w:r>
          </w:p>
        </w:tc>
      </w:tr>
      <w:tr>
        <w:tc>
          <w:tcPr>
            <w:tcW w:type="dxa" w:w="9026"/>
            <w:tcBorders>
              <w:top w:val="none"/>
              <w:left w:val="none"/>
              <w:bottom w:val="none"/>
              <w:right w:val="none"/>
            </w:tcBorders>
            <w:shd w:fill="FAF0EE" w:val="clear"/>
            <w:tcMar>
              <w:top w:type="dxa" w:w="100"/>
              <w:left w:type="dxa" w:w="200"/>
              <w:bottom w:type="dxa" w:w="120"/>
              <w:right w:type="dxa" w:w="160"/>
            </w:tcMar>
          </w:tcPr>
          <w:p>
            <w:pPr>
              <w:spacing w:before="0" w:after="50"/>
            </w:pPr>
            <w:r>
              <w:rPr>
                <w:rFonts w:ascii="Arial" w:cs="Arial" w:eastAsia="Arial" w:hAnsi="Arial"/>
                <w:b/>
                <w:bCs/>
                <w:caps/>
                <w:color w:val="8B1A1A"/>
                <w:sz w:val="16"/>
                <w:szCs w:val="16"/>
              </w:rPr>
              <w:t xml:space="preserve">Gap / Action needed</w:t>
            </w:r>
          </w:p>
          <w:p>
            <w:pPr>
              <w:spacing w:before="0" w:after="0"/>
              <w:jc w:val="both"/>
            </w:pPr>
            <w:r>
              <w:rPr>
                <w:rFonts w:ascii="Georgia" w:cs="Georgia" w:eastAsia="Georgia" w:hAnsi="Georgia"/>
                <w:color w:val="1A1A1A"/>
                <w:sz w:val="22"/>
                <w:szCs w:val="22"/>
              </w:rPr>
              <w:t xml:space="preserve">This is a significant gap. Person 2's account of participatory strategy formation is not a procedural nicety — it is the mechanism through which strategy becomes owned rather than merely communicated. An institution that delivers strategy to its academic community will encounter implementation resistance; an institution that builds strategy with its community builds ownership. The OUG needs a Strategy Formation Protocol: a document specifying how strategy cycles are initiated, how academic contributors and students are engaged, how inputs are consolidated, and how the resulting strategy is iteratively validated before adoption.</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P5  </w:t>
            </w:r>
            <w:r>
              <w:rPr>
                <w:rFonts w:ascii="Georgia" w:cs="Georgia" w:eastAsia="Georgia" w:hAnsi="Georgia"/>
                <w:b/>
                <w:bCs/>
                <w:color w:val="FFFFFF"/>
                <w:sz w:val="21"/>
                <w:szCs w:val="21"/>
              </w:rPr>
              <w:t xml:space="preserve">Strategic Clarity and Feasibility</w:t>
            </w:r>
          </w:p>
          <w:p>
            <w:pPr>
              <w:spacing w:before="30" w:after="0"/>
            </w:pPr>
            <w:r>
              <w:rPr>
                <w:rFonts w:ascii="Arial" w:cs="Arial" w:eastAsia="Arial" w:hAnsi="Arial"/>
                <w:i/>
                <w:iCs/>
                <w:color w:val="8899BB"/>
                <w:sz w:val="16"/>
                <w:szCs w:val="16"/>
              </w:rPr>
              <w:t xml:space="preserve">Sources: Person 2 · Strategy Framework · Institutional Report</w:t>
            </w:r>
          </w:p>
        </w:tc>
      </w:tr>
      <w:tr>
        <w:tc>
          <w:tcPr>
            <w:tcW w:type="dxa" w:w="9026"/>
            <w:tcBorders>
              <w:top w:val="none"/>
              <w:left w:val="none"/>
              <w:bottom w:val="none"/>
              <w:right w:val="none"/>
            </w:tcBorders>
            <w:shd w:fill="FDF6EC" w:val="clear"/>
            <w:tcMar>
              <w:top w:type="dxa" w:w="80"/>
              <w:left w:type="dxa" w:w="200"/>
              <w:bottom w:type="dxa" w:w="80"/>
              <w:right w:type="dxa" w:w="160"/>
            </w:tcMar>
          </w:tcPr>
          <w:p>
            <w:r>
              <w:rPr>
                <w:rFonts w:ascii="Arial" w:cs="Arial" w:eastAsia="Arial" w:hAnsi="Arial"/>
                <w:b/>
                <w:bCs/>
                <w:caps/>
                <w:color w:val="7A4A00"/>
                <w:sz w:val="17"/>
                <w:szCs w:val="17"/>
              </w:rPr>
              <w:t xml:space="preserve">●  PARTIAL — NEEDS WORK</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OUG's Strategic Framework defines objectives and KPIs, and the Institutional Report narrates institutional mission and societal relevance. There is evidence of strategic thinking and institutional direction. The principle of reducing complexity to a manageable set of guiding principles is visible in the five-strand OUG strategic framework.</w:t>
            </w:r>
          </w:p>
        </w:tc>
      </w:tr>
      <w:tr>
        <w:tc>
          <w:tcPr>
            <w:tcW w:type="dxa" w:w="9026"/>
            <w:tcBorders>
              <w:top w:val="none"/>
              <w:left w:val="none"/>
              <w:bottom w:val="none"/>
              <w:right w:val="none"/>
            </w:tcBorders>
            <w:shd w:fill="FDF6EC" w:val="clear"/>
            <w:tcMar>
              <w:top w:type="dxa" w:w="100"/>
              <w:left w:type="dxa" w:w="200"/>
              <w:bottom w:type="dxa" w:w="120"/>
              <w:right w:type="dxa" w:w="160"/>
            </w:tcMar>
          </w:tcPr>
          <w:p>
            <w:pPr>
              <w:spacing w:before="0" w:after="50"/>
            </w:pPr>
            <w:r>
              <w:rPr>
                <w:rFonts w:ascii="Arial" w:cs="Arial" w:eastAsia="Arial" w:hAnsi="Arial"/>
                <w:b/>
                <w:bCs/>
                <w:caps/>
                <w:color w:val="7A4A00"/>
                <w:sz w:val="16"/>
                <w:szCs w:val="16"/>
              </w:rPr>
              <w:t xml:space="preserve">Gap / Action needed</w:t>
            </w:r>
          </w:p>
          <w:p>
            <w:pPr>
              <w:spacing w:before="0" w:after="0"/>
              <w:jc w:val="both"/>
            </w:pPr>
            <w:r>
              <w:rPr>
                <w:rFonts w:ascii="Georgia" w:cs="Georgia" w:eastAsia="Georgia" w:hAnsi="Georgia"/>
                <w:color w:val="1A1A1A"/>
                <w:sz w:val="22"/>
                <w:szCs w:val="22"/>
              </w:rPr>
              <w:t xml:space="preserve">What is less clear is whether the current goal set has been subjected to the feasibility discipline Person 2 describes — the reduction from sixty goals to fewer than twenty that can actually be measured. The OUG documents do not make visible whether goals were tested against implementation capacity. There is also no public-facing strategic summary that would allow an external reader (or a future student or partner) to state in one or two sentences what the OUG's five guiding principles are. Strategic clarity requires not just a well-designed internal document but a communicable external statement.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P6  </w:t>
            </w:r>
            <w:r>
              <w:rPr>
                <w:rFonts w:ascii="Georgia" w:cs="Georgia" w:eastAsia="Georgia" w:hAnsi="Georgia"/>
                <w:b/>
                <w:bCs/>
                <w:color w:val="FFFFFF"/>
                <w:sz w:val="21"/>
                <w:szCs w:val="21"/>
              </w:rPr>
              <w:t xml:space="preserve">Continuous Feedback and Adaptive Execution</w:t>
            </w:r>
          </w:p>
          <w:p>
            <w:pPr>
              <w:spacing w:before="30" w:after="0"/>
            </w:pPr>
            <w:r>
              <w:rPr>
                <w:rFonts w:ascii="Arial" w:cs="Arial" w:eastAsia="Arial" w:hAnsi="Arial"/>
                <w:i/>
                <w:iCs/>
                <w:color w:val="8899BB"/>
                <w:sz w:val="16"/>
                <w:szCs w:val="16"/>
              </w:rPr>
              <w:t xml:space="preserve">Sources: Person 2 · Quality Assurance Framework · Portfolio Governance Framework</w:t>
            </w:r>
          </w:p>
        </w:tc>
      </w:tr>
      <w:tr>
        <w:tc>
          <w:tcPr>
            <w:tcW w:type="dxa" w:w="9026"/>
            <w:tcBorders>
              <w:top w:val="none"/>
              <w:left w:val="none"/>
              <w:bottom w:val="none"/>
              <w:right w:val="none"/>
            </w:tcBorders>
            <w:shd w:fill="FDF6EC" w:val="clear"/>
            <w:tcMar>
              <w:top w:type="dxa" w:w="80"/>
              <w:left w:type="dxa" w:w="200"/>
              <w:bottom w:type="dxa" w:w="80"/>
              <w:right w:type="dxa" w:w="160"/>
            </w:tcMar>
          </w:tcPr>
          <w:p>
            <w:r>
              <w:rPr>
                <w:rFonts w:ascii="Arial" w:cs="Arial" w:eastAsia="Arial" w:hAnsi="Arial"/>
                <w:b/>
                <w:bCs/>
                <w:caps/>
                <w:color w:val="7A4A00"/>
                <w:sz w:val="17"/>
                <w:szCs w:val="17"/>
              </w:rPr>
              <w:t xml:space="preserve">●  PARTIAL — NEEDS WORK</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Quality Assurance Framework establishes programme review cycles and quality indicators. The Portfolio Governance Framework includes a classification system for changes that implies a feedback loop — problems can be identified and routed through the appropriate change class. The Academic Community Charter explicitly states that evaluation findings are reported to the Senate and must generate institutional response.</w:t>
            </w:r>
          </w:p>
        </w:tc>
      </w:tr>
      <w:tr>
        <w:tc>
          <w:tcPr>
            <w:tcW w:type="dxa" w:w="9026"/>
            <w:tcBorders>
              <w:top w:val="none"/>
              <w:left w:val="none"/>
              <w:bottom w:val="none"/>
              <w:right w:val="none"/>
            </w:tcBorders>
            <w:shd w:fill="FDF6EC" w:val="clear"/>
            <w:tcMar>
              <w:top w:type="dxa" w:w="100"/>
              <w:left w:type="dxa" w:w="200"/>
              <w:bottom w:type="dxa" w:w="120"/>
              <w:right w:type="dxa" w:w="160"/>
            </w:tcMar>
          </w:tcPr>
          <w:p>
            <w:pPr>
              <w:spacing w:before="0" w:after="50"/>
            </w:pPr>
            <w:r>
              <w:rPr>
                <w:rFonts w:ascii="Arial" w:cs="Arial" w:eastAsia="Arial" w:hAnsi="Arial"/>
                <w:b/>
                <w:bCs/>
                <w:caps/>
                <w:color w:val="7A4A00"/>
                <w:sz w:val="16"/>
                <w:szCs w:val="16"/>
              </w:rPr>
              <w:t xml:space="preserve">Gap / Action needed</w:t>
            </w:r>
          </w:p>
          <w:p>
            <w:pPr>
              <w:spacing w:before="0" w:after="0"/>
              <w:jc w:val="both"/>
            </w:pPr>
            <w:r>
              <w:rPr>
                <w:rFonts w:ascii="Georgia" w:cs="Georgia" w:eastAsia="Georgia" w:hAnsi="Georgia"/>
                <w:color w:val="1A1A1A"/>
                <w:sz w:val="22"/>
                <w:szCs w:val="22"/>
              </w:rPr>
              <w:t xml:space="preserve">The gap is between structural provisions and an explicit, operational feedback architecture. Person 2's model describes distributed testing: every responsible unit runs its own tests and reports upward. The OUG has quality review processes but not a systematic distributed implementation monitoring system. There is no description of how G4 units report implementation findings to G3 or G2, no dashboard specification, and no defined procedure for what happens when a strategic goal is consistently not met. The feedback mechanisms exist in outline but are not fully operationalised.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P7  </w:t>
            </w:r>
            <w:r>
              <w:rPr>
                <w:rFonts w:ascii="Georgia" w:cs="Georgia" w:eastAsia="Georgia" w:hAnsi="Georgia"/>
                <w:b/>
                <w:bCs/>
                <w:color w:val="FFFFFF"/>
                <w:sz w:val="21"/>
                <w:szCs w:val="21"/>
              </w:rPr>
              <w:t xml:space="preserve">Transformation-Oriented Performance Management</w:t>
            </w:r>
          </w:p>
          <w:p>
            <w:pPr>
              <w:spacing w:before="30" w:after="0"/>
            </w:pPr>
            <w:r>
              <w:rPr>
                <w:rFonts w:ascii="Arial" w:cs="Arial" w:eastAsia="Arial" w:hAnsi="Arial"/>
                <w:i/>
                <w:iCs/>
                <w:color w:val="8899BB"/>
                <w:sz w:val="16"/>
                <w:szCs w:val="16"/>
              </w:rPr>
              <w:t xml:space="preserve">Sources: Person 2 · Strategy Framework · Quality Assurance Framework</w:t>
            </w:r>
          </w:p>
        </w:tc>
      </w:tr>
      <w:tr>
        <w:tc>
          <w:tcPr>
            <w:tcW w:type="dxa" w:w="9026"/>
            <w:tcBorders>
              <w:top w:val="none"/>
              <w:left w:val="none"/>
              <w:bottom w:val="none"/>
              <w:right w:val="none"/>
            </w:tcBorders>
            <w:shd w:fill="FAF0EE" w:val="clear"/>
            <w:tcMar>
              <w:top w:type="dxa" w:w="80"/>
              <w:left w:type="dxa" w:w="200"/>
              <w:bottom w:type="dxa" w:w="80"/>
              <w:right w:type="dxa" w:w="160"/>
            </w:tcMar>
          </w:tcPr>
          <w:p>
            <w:r>
              <w:rPr>
                <w:rFonts w:ascii="Arial" w:cs="Arial" w:eastAsia="Arial" w:hAnsi="Arial"/>
                <w:b/>
                <w:bCs/>
                <w:caps/>
                <w:color w:val="8B1A1A"/>
                <w:sz w:val="17"/>
                <w:szCs w:val="17"/>
              </w:rPr>
              <w:t xml:space="preserve">●  GAP — ACTION NEEDED</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current OUG documents reference KPIs in the Strategy Framework — Key Performance Indicators that monitor whether strategic goals are being met. This is a monitoring orientation, not a transformation orientation. There is no reference to OKRs or to an equivalent framework that asks not 'how are we doing?' but 'where do we want to move next and are we getting there?'</w:t>
            </w:r>
          </w:p>
        </w:tc>
      </w:tr>
      <w:tr>
        <w:tc>
          <w:tcPr>
            <w:tcW w:type="dxa" w:w="9026"/>
            <w:tcBorders>
              <w:top w:val="none"/>
              <w:left w:val="none"/>
              <w:bottom w:val="none"/>
              <w:right w:val="none"/>
            </w:tcBorders>
            <w:shd w:fill="FAF0EE" w:val="clear"/>
            <w:tcMar>
              <w:top w:type="dxa" w:w="100"/>
              <w:left w:type="dxa" w:w="200"/>
              <w:bottom w:type="dxa" w:w="120"/>
              <w:right w:type="dxa" w:w="160"/>
            </w:tcMar>
          </w:tcPr>
          <w:p>
            <w:pPr>
              <w:spacing w:before="0" w:after="50"/>
            </w:pPr>
            <w:r>
              <w:rPr>
                <w:rFonts w:ascii="Arial" w:cs="Arial" w:eastAsia="Arial" w:hAnsi="Arial"/>
                <w:b/>
                <w:bCs/>
                <w:caps/>
                <w:color w:val="8B1A1A"/>
                <w:sz w:val="16"/>
                <w:szCs w:val="16"/>
              </w:rPr>
              <w:t xml:space="preserve">Gap / Action needed</w:t>
            </w:r>
          </w:p>
          <w:p>
            <w:pPr>
              <w:spacing w:before="0" w:after="0"/>
              <w:jc w:val="both"/>
            </w:pPr>
            <w:r>
              <w:rPr>
                <w:rFonts w:ascii="Georgia" w:cs="Georgia" w:eastAsia="Georgia" w:hAnsi="Georgia"/>
                <w:color w:val="1A1A1A"/>
                <w:sz w:val="22"/>
                <w:szCs w:val="22"/>
              </w:rPr>
              <w:t xml:space="preserve">This is a conceptual gap with practical consequences. A new institution in a rapidly changing sector — precisely the OUG's situation — cannot afford to govern primarily for stability. It needs performance management infrastructure that drives transformation. The OUG should adopt an OKR framework alongside its existing quality metrics: qualitative directional objectives with measurable key results, reviewed on a quarterly or semester basis, aggregated on a governance dashboard. This does not require discarding existing KPIs — it means adding a forward-looking layer to an existing backward-looking monitoring system.</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P8  </w:t>
            </w:r>
            <w:r>
              <w:rPr>
                <w:rFonts w:ascii="Georgia" w:cs="Georgia" w:eastAsia="Georgia" w:hAnsi="Georgia"/>
                <w:b/>
                <w:bCs/>
                <w:color w:val="FFFFFF"/>
                <w:sz w:val="21"/>
                <w:szCs w:val="21"/>
              </w:rPr>
              <w:t xml:space="preserve">Committees as Distributed Intelligence</w:t>
            </w:r>
          </w:p>
          <w:p>
            <w:pPr>
              <w:spacing w:before="30" w:after="0"/>
            </w:pPr>
            <w:r>
              <w:rPr>
                <w:rFonts w:ascii="Arial" w:cs="Arial" w:eastAsia="Arial" w:hAnsi="Arial"/>
                <w:i/>
                <w:iCs/>
                <w:color w:val="8899BB"/>
                <w:sz w:val="16"/>
                <w:szCs w:val="16"/>
              </w:rPr>
              <w:t xml:space="preserve">Sources: Person 1 &amp; 2 · Governance Architecture · Academic Community Charter</w:t>
            </w:r>
          </w:p>
        </w:tc>
      </w:tr>
      <w:tr>
        <w:tc>
          <w:tcPr>
            <w:tcW w:type="dxa" w:w="9026"/>
            <w:tcBorders>
              <w:top w:val="none"/>
              <w:left w:val="none"/>
              <w:bottom w:val="none"/>
              <w:right w:val="none"/>
            </w:tcBorders>
            <w:shd w:fill="FDF6EC" w:val="clear"/>
            <w:tcMar>
              <w:top w:type="dxa" w:w="80"/>
              <w:left w:type="dxa" w:w="200"/>
              <w:bottom w:type="dxa" w:w="80"/>
              <w:right w:type="dxa" w:w="160"/>
            </w:tcMar>
          </w:tcPr>
          <w:p>
            <w:r>
              <w:rPr>
                <w:rFonts w:ascii="Arial" w:cs="Arial" w:eastAsia="Arial" w:hAnsi="Arial"/>
                <w:b/>
                <w:bCs/>
                <w:caps/>
                <w:color w:val="7A4A00"/>
                <w:sz w:val="17"/>
                <w:szCs w:val="17"/>
              </w:rPr>
              <w:t xml:space="preserve">●  PARTIAL — NEEDS WORK</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OUG's governance architecture includes multiple committees: the Academic Senate, Doctoral Studies Committee, Research Ethics Committee, Mission Hubs, and programme committees. These are not merely advisory — the Senate holds genuine authority over academic standards, and Mission Hubs are described as intellectual communities with research mandates, not coordination structures. This reflects Person 2's framing of committees as intelligence nodes.</w:t>
            </w:r>
          </w:p>
        </w:tc>
      </w:tr>
      <w:tr>
        <w:tc>
          <w:tcPr>
            <w:tcW w:type="dxa" w:w="9026"/>
            <w:tcBorders>
              <w:top w:val="none"/>
              <w:left w:val="none"/>
              <w:bottom w:val="none"/>
              <w:right w:val="none"/>
            </w:tcBorders>
            <w:shd w:fill="FDF6EC" w:val="clear"/>
            <w:tcMar>
              <w:top w:type="dxa" w:w="100"/>
              <w:left w:type="dxa" w:w="200"/>
              <w:bottom w:type="dxa" w:w="120"/>
              <w:right w:type="dxa" w:w="160"/>
            </w:tcMar>
          </w:tcPr>
          <w:p>
            <w:pPr>
              <w:spacing w:before="0" w:after="50"/>
            </w:pPr>
            <w:r>
              <w:rPr>
                <w:rFonts w:ascii="Arial" w:cs="Arial" w:eastAsia="Arial" w:hAnsi="Arial"/>
                <w:b/>
                <w:bCs/>
                <w:caps/>
                <w:color w:val="7A4A00"/>
                <w:sz w:val="16"/>
                <w:szCs w:val="16"/>
              </w:rPr>
              <w:t xml:space="preserve">Gap / Action needed</w:t>
            </w:r>
          </w:p>
          <w:p>
            <w:pPr>
              <w:spacing w:before="0" w:after="0"/>
              <w:jc w:val="both"/>
            </w:pPr>
            <w:r>
              <w:rPr>
                <w:rFonts w:ascii="Georgia" w:cs="Georgia" w:eastAsia="Georgia" w:hAnsi="Georgia"/>
                <w:color w:val="1A1A1A"/>
                <w:sz w:val="22"/>
                <w:szCs w:val="22"/>
              </w:rPr>
              <w:t xml:space="preserve">The gap is in the connective tissue between committees. Person 2's model emphasises intentional overlap — individuals participating in multiple bodies, creating redundant information pathways and preventing silos. The OUG's current committee structure is well-described in terms of individual mandates but less well-described in terms of designed overlap and information routing. How do Mission Hubs connect to programme committees? How does the Doctoral Studies Committee's findings reach the Strategic layer? The inter-committee information architecture needs to be made explicit.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P9  </w:t>
            </w:r>
            <w:r>
              <w:rPr>
                <w:rFonts w:ascii="Georgia" w:cs="Georgia" w:eastAsia="Georgia" w:hAnsi="Georgia"/>
                <w:b/>
                <w:bCs/>
                <w:color w:val="FFFFFF"/>
                <w:sz w:val="21"/>
                <w:szCs w:val="21"/>
              </w:rPr>
              <w:t xml:space="preserve">Role Clarity and Mandate Transparency</w:t>
            </w:r>
          </w:p>
          <w:p>
            <w:pPr>
              <w:spacing w:before="30" w:after="0"/>
            </w:pPr>
            <w:r>
              <w:rPr>
                <w:rFonts w:ascii="Arial" w:cs="Arial" w:eastAsia="Arial" w:hAnsi="Arial"/>
                <w:i/>
                <w:iCs/>
                <w:color w:val="8899BB"/>
                <w:sz w:val="16"/>
                <w:szCs w:val="16"/>
              </w:rPr>
              <w:t xml:space="preserve">Sources: Person 1 · Leadership &amp; Stewardship Profiles · Governance Architecture</w:t>
            </w:r>
          </w:p>
        </w:tc>
      </w:tr>
      <w:tr>
        <w:tc>
          <w:tcPr>
            <w:tcW w:type="dxa" w:w="9026"/>
            <w:tcBorders>
              <w:top w:val="none"/>
              <w:left w:val="none"/>
              <w:bottom w:val="none"/>
              <w:right w:val="none"/>
            </w:tcBorders>
            <w:shd w:fill="EAF5EE" w:val="clear"/>
            <w:tcMar>
              <w:top w:type="dxa" w:w="80"/>
              <w:left w:type="dxa" w:w="200"/>
              <w:bottom w:type="dxa" w:w="80"/>
              <w:right w:type="dxa" w:w="160"/>
            </w:tcMar>
          </w:tcPr>
          <w:p>
            <w:r>
              <w:rPr>
                <w:rFonts w:ascii="Arial" w:cs="Arial" w:eastAsia="Arial" w:hAnsi="Arial"/>
                <w:b/>
                <w:bCs/>
                <w:caps/>
                <w:color w:val="1A5C38"/>
                <w:sz w:val="17"/>
                <w:szCs w:val="17"/>
              </w:rPr>
              <w:t xml:space="preserve">●  STRONG ALIGNMENT</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Role clarity is one of the OUG's strongest design features. The Leadership &amp; Stewardship Profiles define roles not merely by title but by competence requirements, decision rights, and mandate boundaries. The four governance layers have explicitly defined domains and the constitutional insulation of G3 from G2 is a specific, structural form of mandate clarity. The OUG documents are unusual in the degree to which they specify not just what roles exist but what they are and are not permitted to do.</w:t>
            </w:r>
          </w:p>
        </w:tc>
      </w:tr>
      <w:tr>
        <w:tc>
          <w:tcPr>
            <w:tcW w:type="dxa" w:w="9026"/>
            <w:tcBorders>
              <w:top w:val="none"/>
              <w:left w:val="none"/>
              <w:bottom w:val="none"/>
              <w:right w:val="none"/>
            </w:tcBorders>
            <w:shd w:fill="EAF5EE" w:val="clear"/>
            <w:tcMar>
              <w:top w:type="dxa" w:w="100"/>
              <w:left w:type="dxa" w:w="200"/>
              <w:bottom w:type="dxa" w:w="120"/>
              <w:right w:type="dxa" w:w="160"/>
            </w:tcMar>
          </w:tcPr>
          <w:p>
            <w:pPr>
              <w:spacing w:before="0" w:after="50"/>
            </w:pPr>
            <w:r>
              <w:rPr>
                <w:rFonts w:ascii="Arial" w:cs="Arial" w:eastAsia="Arial" w:hAnsi="Arial"/>
                <w:b/>
                <w:bCs/>
                <w:caps/>
                <w:color w:val="1A5C38"/>
                <w:sz w:val="16"/>
                <w:szCs w:val="16"/>
              </w:rPr>
              <w:t xml:space="preserve">Why it holds</w:t>
            </w:r>
          </w:p>
          <w:p>
            <w:pPr>
              <w:spacing w:before="0" w:after="0"/>
              <w:jc w:val="both"/>
            </w:pPr>
            <w:r>
              <w:rPr>
                <w:rFonts w:ascii="Georgia" w:cs="Georgia" w:eastAsia="Georgia" w:hAnsi="Georgia"/>
                <w:color w:val="1A1A1A"/>
                <w:sz w:val="22"/>
                <w:szCs w:val="22"/>
              </w:rPr>
              <w:t xml:space="preserve">This is genuinely strong. The risk going forward is not structural but temporal: role clarity requires maintenance as the institution grows and new roles are added. A Role Registry — a living document that tracks all governance roles, their mandates, and their last review date — would ensure that clarity is sustained rather than assumed.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P10  </w:t>
            </w:r>
            <w:r>
              <w:rPr>
                <w:rFonts w:ascii="Georgia" w:cs="Georgia" w:eastAsia="Georgia" w:hAnsi="Georgia"/>
                <w:b/>
                <w:bCs/>
                <w:color w:val="FFFFFF"/>
                <w:sz w:val="21"/>
                <w:szCs w:val="21"/>
              </w:rPr>
              <w:t xml:space="preserve">Checks and Balances</w:t>
            </w:r>
          </w:p>
          <w:p>
            <w:pPr>
              <w:spacing w:before="30" w:after="0"/>
            </w:pPr>
            <w:r>
              <w:rPr>
                <w:rFonts w:ascii="Arial" w:cs="Arial" w:eastAsia="Arial" w:hAnsi="Arial"/>
                <w:i/>
                <w:iCs/>
                <w:color w:val="8899BB"/>
                <w:sz w:val="16"/>
                <w:szCs w:val="16"/>
              </w:rPr>
              <w:t xml:space="preserve">Sources: Person 1 · Grundordnung · Governance Architecture · Federated Legal Model</w:t>
            </w:r>
          </w:p>
        </w:tc>
      </w:tr>
      <w:tr>
        <w:tc>
          <w:tcPr>
            <w:tcW w:type="dxa" w:w="9026"/>
            <w:tcBorders>
              <w:top w:val="none"/>
              <w:left w:val="none"/>
              <w:bottom w:val="none"/>
              <w:right w:val="none"/>
            </w:tcBorders>
            <w:shd w:fill="EAF5EE" w:val="clear"/>
            <w:tcMar>
              <w:top w:type="dxa" w:w="80"/>
              <w:left w:type="dxa" w:w="200"/>
              <w:bottom w:type="dxa" w:w="80"/>
              <w:right w:type="dxa" w:w="160"/>
            </w:tcMar>
          </w:tcPr>
          <w:p>
            <w:r>
              <w:rPr>
                <w:rFonts w:ascii="Arial" w:cs="Arial" w:eastAsia="Arial" w:hAnsi="Arial"/>
                <w:b/>
                <w:bCs/>
                <w:caps/>
                <w:color w:val="1A5C38"/>
                <w:sz w:val="17"/>
                <w:szCs w:val="17"/>
              </w:rPr>
              <w:t xml:space="preserve">●  STRONG ALIGNMENT</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Checks and balances are constitutionally anchored in the OUG design. The separation of academic authority (G3) from executive and financial authority (G2) is the most significant structural check — it prevents the most common form of power concentration in university governance: financial pressure on academic standards. The Federated Legal Model separates degree authority (OUG), teaching authority (partners), and employment authority (home institutions), distributing power across multiple institutional actors. No single person or body controls all three.</w:t>
            </w:r>
          </w:p>
        </w:tc>
      </w:tr>
      <w:tr>
        <w:tc>
          <w:tcPr>
            <w:tcW w:type="dxa" w:w="9026"/>
            <w:tcBorders>
              <w:top w:val="none"/>
              <w:left w:val="none"/>
              <w:bottom w:val="none"/>
              <w:right w:val="none"/>
            </w:tcBorders>
            <w:shd w:fill="EAF5EE" w:val="clear"/>
            <w:tcMar>
              <w:top w:type="dxa" w:w="100"/>
              <w:left w:type="dxa" w:w="200"/>
              <w:bottom w:type="dxa" w:w="120"/>
              <w:right w:type="dxa" w:w="160"/>
            </w:tcMar>
          </w:tcPr>
          <w:p>
            <w:pPr>
              <w:spacing w:before="0" w:after="50"/>
            </w:pPr>
            <w:r>
              <w:rPr>
                <w:rFonts w:ascii="Arial" w:cs="Arial" w:eastAsia="Arial" w:hAnsi="Arial"/>
                <w:b/>
                <w:bCs/>
                <w:caps/>
                <w:color w:val="1A5C38"/>
                <w:sz w:val="16"/>
                <w:szCs w:val="16"/>
              </w:rPr>
              <w:t xml:space="preserve">Why it holds</w:t>
            </w:r>
          </w:p>
          <w:p>
            <w:pPr>
              <w:spacing w:before="0" w:after="0"/>
              <w:jc w:val="both"/>
            </w:pPr>
            <w:r>
              <w:rPr>
                <w:rFonts w:ascii="Georgia" w:cs="Georgia" w:eastAsia="Georgia" w:hAnsi="Georgia"/>
                <w:color w:val="1A1A1A"/>
                <w:sz w:val="22"/>
                <w:szCs w:val="22"/>
              </w:rPr>
              <w:t xml:space="preserve">The architecture of checks and balances is sound. The remaining question — which the OUG documents do not fully address — is what happens when checks fail. What is the escalation path when G3 decisions are contested by G2? What are the remedies when a governance body exceeds its mandate? The Grundordnung presumably addresses some of this, but an explicit conflict resolution and escalation protocol visible to all governance participants would strengthen the system's resilience.</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P11  </w:t>
            </w:r>
            <w:r>
              <w:rPr>
                <w:rFonts w:ascii="Georgia" w:cs="Georgia" w:eastAsia="Georgia" w:hAnsi="Georgia"/>
                <w:b/>
                <w:bCs/>
                <w:color w:val="FFFFFF"/>
                <w:sz w:val="21"/>
                <w:szCs w:val="21"/>
              </w:rPr>
              <w:t xml:space="preserve">Professionalisation of Leadership and Term Limits</w:t>
            </w:r>
          </w:p>
          <w:p>
            <w:pPr>
              <w:spacing w:before="30" w:after="0"/>
            </w:pPr>
            <w:r>
              <w:rPr>
                <w:rFonts w:ascii="Arial" w:cs="Arial" w:eastAsia="Arial" w:hAnsi="Arial"/>
                <w:i/>
                <w:iCs/>
                <w:color w:val="8899BB"/>
                <w:sz w:val="16"/>
                <w:szCs w:val="16"/>
              </w:rPr>
              <w:t xml:space="preserve">Sources: Person 1 · Leadership &amp; Stewardship Profiles · Governance Architecture</w:t>
            </w:r>
          </w:p>
        </w:tc>
      </w:tr>
      <w:tr>
        <w:tc>
          <w:tcPr>
            <w:tcW w:type="dxa" w:w="9026"/>
            <w:tcBorders>
              <w:top w:val="none"/>
              <w:left w:val="none"/>
              <w:bottom w:val="none"/>
              <w:right w:val="none"/>
            </w:tcBorders>
            <w:shd w:fill="FDF6EC" w:val="clear"/>
            <w:tcMar>
              <w:top w:type="dxa" w:w="80"/>
              <w:left w:type="dxa" w:w="200"/>
              <w:bottom w:type="dxa" w:w="80"/>
              <w:right w:type="dxa" w:w="160"/>
            </w:tcMar>
          </w:tcPr>
          <w:p>
            <w:r>
              <w:rPr>
                <w:rFonts w:ascii="Arial" w:cs="Arial" w:eastAsia="Arial" w:hAnsi="Arial"/>
                <w:b/>
                <w:bCs/>
                <w:caps/>
                <w:color w:val="7A4A00"/>
                <w:sz w:val="17"/>
                <w:szCs w:val="17"/>
              </w:rPr>
              <w:t xml:space="preserve">●  PARTIAL — NEEDS WORK</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Leadership &amp; Stewardship Profiles establish that leadership roles are not status positions but institutionally defined functions with specific competence requirements. This is a strong response to Person 1's argument that leadership competencies are not automatic. The four-layer governance architecture makes clear that leadership roles exist within a system, not above it. The return-to-professorship pathway exists structurally because OUG leadership roles are separate from academic identity.</w:t>
            </w:r>
          </w:p>
        </w:tc>
      </w:tr>
      <w:tr>
        <w:tc>
          <w:tcPr>
            <w:tcW w:type="dxa" w:w="9026"/>
            <w:tcBorders>
              <w:top w:val="none"/>
              <w:left w:val="none"/>
              <w:bottom w:val="none"/>
              <w:right w:val="none"/>
            </w:tcBorders>
            <w:shd w:fill="FDF6EC" w:val="clear"/>
            <w:tcMar>
              <w:top w:type="dxa" w:w="100"/>
              <w:left w:type="dxa" w:w="200"/>
              <w:bottom w:type="dxa" w:w="120"/>
              <w:right w:type="dxa" w:w="160"/>
            </w:tcMar>
          </w:tcPr>
          <w:p>
            <w:pPr>
              <w:spacing w:before="0" w:after="50"/>
            </w:pPr>
            <w:r>
              <w:rPr>
                <w:rFonts w:ascii="Arial" w:cs="Arial" w:eastAsia="Arial" w:hAnsi="Arial"/>
                <w:b/>
                <w:bCs/>
                <w:caps/>
                <w:color w:val="7A4A00"/>
                <w:sz w:val="16"/>
                <w:szCs w:val="16"/>
              </w:rPr>
              <w:t xml:space="preserve">Gap / Action needed</w:t>
            </w:r>
          </w:p>
          <w:p>
            <w:pPr>
              <w:spacing w:before="0" w:after="0"/>
              <w:jc w:val="both"/>
            </w:pPr>
            <w:r>
              <w:rPr>
                <w:rFonts w:ascii="Georgia" w:cs="Georgia" w:eastAsia="Georgia" w:hAnsi="Georgia"/>
                <w:color w:val="1A1A1A"/>
                <w:sz w:val="22"/>
                <w:szCs w:val="22"/>
              </w:rPr>
              <w:t xml:space="preserve">What is not yet present is a systematic leadership development programme. The Profiles define what leaders should be able to do; they do not describe how those capabilities are developed or assessed. Person 1 was explicit: leadership competencies must be learned. The OUG needs a Leadership Development and Induction Framework — a document specifying how incoming leaders are prepared for their roles, what ongoing development is expected, and how performance is evaluated against the competencies defined in the Profiles. Term limits are implied by the role-based structure but not explicitly stated.</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F3C" w:val="clear"/>
            <w:tcMar>
              <w:top w:type="dxa" w:w="100"/>
              <w:left w:type="dxa" w:w="200"/>
              <w:bottom w:type="dxa" w:w="100"/>
              <w:right w:type="dxa" w:w="160"/>
            </w:tcMar>
          </w:tcPr>
          <w:p>
            <w:r>
              <w:rPr>
                <w:rFonts w:ascii="Arial" w:cs="Arial" w:eastAsia="Arial" w:hAnsi="Arial"/>
                <w:b/>
                <w:bCs/>
                <w:color w:val="2E75B6"/>
                <w:sz w:val="20"/>
                <w:szCs w:val="20"/>
              </w:rPr>
              <w:t xml:space="preserve">P12  </w:t>
            </w:r>
            <w:r>
              <w:rPr>
                <w:rFonts w:ascii="Georgia" w:cs="Georgia" w:eastAsia="Georgia" w:hAnsi="Georgia"/>
                <w:b/>
                <w:bCs/>
                <w:color w:val="FFFFFF"/>
                <w:sz w:val="21"/>
                <w:szCs w:val="21"/>
              </w:rPr>
              <w:t xml:space="preserve">University as Socially Embedded, Adaptive Institution</w:t>
            </w:r>
          </w:p>
          <w:p>
            <w:pPr>
              <w:spacing w:before="30" w:after="0"/>
            </w:pPr>
            <w:r>
              <w:rPr>
                <w:rFonts w:ascii="Arial" w:cs="Arial" w:eastAsia="Arial" w:hAnsi="Arial"/>
                <w:i/>
                <w:iCs/>
                <w:color w:val="8899BB"/>
                <w:sz w:val="16"/>
                <w:szCs w:val="16"/>
              </w:rPr>
              <w:t xml:space="preserve">Sources: Person 1 &amp; 2 · Academic Community Charter · Strategic Positioning · Mission Documents</w:t>
            </w:r>
          </w:p>
        </w:tc>
      </w:tr>
      <w:tr>
        <w:tc>
          <w:tcPr>
            <w:tcW w:type="dxa" w:w="9026"/>
            <w:tcBorders>
              <w:top w:val="none"/>
              <w:left w:val="none"/>
              <w:bottom w:val="none"/>
              <w:right w:val="none"/>
            </w:tcBorders>
            <w:shd w:fill="EAF5EE" w:val="clear"/>
            <w:tcMar>
              <w:top w:type="dxa" w:w="80"/>
              <w:left w:type="dxa" w:w="200"/>
              <w:bottom w:type="dxa" w:w="80"/>
              <w:right w:type="dxa" w:w="160"/>
            </w:tcMar>
          </w:tcPr>
          <w:p>
            <w:r>
              <w:rPr>
                <w:rFonts w:ascii="Arial" w:cs="Arial" w:eastAsia="Arial" w:hAnsi="Arial"/>
                <w:b/>
                <w:bCs/>
                <w:caps/>
                <w:color w:val="1A5C38"/>
                <w:sz w:val="17"/>
                <w:szCs w:val="17"/>
              </w:rPr>
              <w:t xml:space="preserve">●  STRONG ALIGNMENT</w:t>
            </w:r>
          </w:p>
        </w:tc>
      </w:tr>
      <w:tr>
        <w:tc>
          <w:tcPr>
            <w:tcW w:type="dxa" w:w="9026"/>
            <w:tcBorders>
              <w:top w:val="none"/>
              <w:left w:val="none"/>
              <w:bottom w:val="none"/>
              <w:right w:val="none"/>
            </w:tcBorders>
            <w:shd w:fill="FFFFFF" w:val="clear"/>
            <w:tcMar>
              <w:top w:type="dxa" w:w="120"/>
              <w:left w:type="dxa" w:w="200"/>
              <w:bottom w:type="dxa" w:w="120"/>
              <w:right w:type="dxa" w:w="160"/>
            </w:tcMar>
          </w:tcPr>
          <w:p>
            <w:pPr>
              <w:spacing w:before="0" w:after="50"/>
            </w:pPr>
            <w:r>
              <w:rPr>
                <w:rFonts w:ascii="Arial" w:cs="Arial" w:eastAsia="Arial" w:hAnsi="Arial"/>
                <w:b/>
                <w:bCs/>
                <w:caps/>
                <w:color w:val="2E75B6"/>
                <w:sz w:val="16"/>
                <w:szCs w:val="16"/>
              </w:rPr>
              <w:t xml:space="preserve">OUG response</w:t>
            </w:r>
          </w:p>
          <w:p>
            <w:pPr>
              <w:spacing w:before="0" w:after="0"/>
              <w:jc w:val="both"/>
            </w:pPr>
            <w:r>
              <w:rPr>
                <w:rFonts w:ascii="Georgia" w:cs="Georgia" w:eastAsia="Georgia" w:hAnsi="Georgia"/>
                <w:color w:val="1A1A1A"/>
                <w:sz w:val="22"/>
                <w:szCs w:val="22"/>
              </w:rPr>
              <w:t xml:space="preserve">The OUG's founding rationale is explicitly societal. It exists to serve learners who are structurally excluded from traditional higher education — working adults, caregivers, people in geographic locations without university access, those in career transition. The Academic Community Charter frames the institution as holding a public mandate. The Strategic Positioning document situates the OUG as a response to societal transformation — the skills-first economy, digital disruption, lifelong learning imperatives. Societal embeddedness is not a peripheral feature of the OUG; it is the reason for its existence.</w:t>
            </w:r>
          </w:p>
        </w:tc>
      </w:tr>
      <w:tr>
        <w:tc>
          <w:tcPr>
            <w:tcW w:type="dxa" w:w="9026"/>
            <w:tcBorders>
              <w:top w:val="none"/>
              <w:left w:val="none"/>
              <w:bottom w:val="none"/>
              <w:right w:val="none"/>
            </w:tcBorders>
            <w:shd w:fill="EAF5EE" w:val="clear"/>
            <w:tcMar>
              <w:top w:type="dxa" w:w="100"/>
              <w:left w:type="dxa" w:w="200"/>
              <w:bottom w:type="dxa" w:w="120"/>
              <w:right w:type="dxa" w:w="160"/>
            </w:tcMar>
          </w:tcPr>
          <w:p>
            <w:pPr>
              <w:spacing w:before="0" w:after="50"/>
            </w:pPr>
            <w:r>
              <w:rPr>
                <w:rFonts w:ascii="Arial" w:cs="Arial" w:eastAsia="Arial" w:hAnsi="Arial"/>
                <w:b/>
                <w:bCs/>
                <w:caps/>
                <w:color w:val="1A5C38"/>
                <w:sz w:val="16"/>
                <w:szCs w:val="16"/>
              </w:rPr>
              <w:t xml:space="preserve">Why it holds</w:t>
            </w:r>
          </w:p>
          <w:p>
            <w:pPr>
              <w:spacing w:before="0" w:after="0"/>
              <w:jc w:val="both"/>
            </w:pPr>
            <w:r>
              <w:rPr>
                <w:rFonts w:ascii="Georgia" w:cs="Georgia" w:eastAsia="Georgia" w:hAnsi="Georgia"/>
                <w:color w:val="1A1A1A"/>
                <w:sz w:val="22"/>
                <w:szCs w:val="22"/>
              </w:rPr>
              <w:t xml:space="preserve">The institutional design makes this concrete by targeting learners the existing system does not reach. The gap — if there is one — is in the governance of the societal mission over time. How does the OUG ensure it remains socially embedded as it grows and as institutional pressures toward efficiency and revenue increase? A Mission Integrity Mechanism — a periodic review, perhaps at the G1 level, that asks whether the institution is still reaching the learners it was designed to reach — would protect the social mission from institutional drift.</w:t>
            </w:r>
          </w:p>
        </w:tc>
      </w:tr>
    </w:tbl>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III.  Summary Assessment</w:t>
      </w:r>
    </w:p>
    <w:p>
      <w:pPr>
        <w:spacing w:before="0" w:after="185"/>
        <w:ind/>
        <w:jc w:val="both"/>
      </w:pPr>
      <w:r>
        <w:rPr>
          <w:rFonts w:ascii="Georgia" w:cs="Georgia" w:eastAsia="Georgia" w:hAnsi="Georgia"/>
          <w:b w:val="false"/>
          <w:bCs w:val="false"/>
          <w:i w:val="false"/>
          <w:iCs w:val="false"/>
          <w:color w:val="1A1A1A"/>
          <w:sz w:val="23"/>
          <w:szCs w:val="23"/>
        </w:rPr>
        <w:t xml:space="preserve">Across twelve principles, the OUG's governance design demonstrates genuine strength in several foundational areas. The weaknesses cluster in two specific domains: the process of strategy formation and the architecture of performance management. Both are operational rather than structural — the structure is largely sound, but key operational mechanisms are not yet built.</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426"/>
        <w:gridCol w:w="3100"/>
      </w:tblGrid>
      <w:tr>
        <w:tc>
          <w:tcPr>
            <w:tcW w:type="dxa" w:w="500"/>
            <w:tcBorders>
              <w:top w:val="single" w:color="DDDDDD" w:sz="1"/>
              <w:left w:val="single" w:color="DDDDDD" w:sz="1"/>
              <w:bottom w:val="single" w:color="DDDDDD" w:sz="1"/>
              <w:right w:val="single" w:color="DDDDDD" w:sz="1"/>
            </w:tcBorders>
            <w:shd w:fill="0D1F3C" w:val="clear"/>
            <w:tcMar>
              <w:top w:type="dxa" w:w="90"/>
              <w:left w:type="dxa" w:w="100"/>
              <w:bottom w:type="dxa" w:w="90"/>
              <w:right w:type="dxa" w:w="80"/>
            </w:tcMar>
          </w:tcPr>
          <w:p>
            <w:pPr>
              <w:jc w:val="center"/>
            </w:pPr>
            <w:r>
              <w:rPr>
                <w:rFonts w:ascii="Arial" w:cs="Arial" w:eastAsia="Arial" w:hAnsi="Arial"/>
                <w:b/>
                <w:bCs/>
                <w:color w:val="FFFFFF"/>
                <w:sz w:val="18"/>
                <w:szCs w:val="18"/>
              </w:rPr>
              <w:t xml:space="preserve">#</w:t>
            </w:r>
          </w:p>
        </w:tc>
        <w:tc>
          <w:tcPr>
            <w:tcW w:type="dxa" w:w="5426"/>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Principle</w:t>
            </w:r>
          </w:p>
        </w:tc>
        <w:tc>
          <w:tcPr>
            <w:tcW w:type="dxa" w:w="3100"/>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pPr>
              <w:jc w:val="center"/>
            </w:pPr>
            <w:r>
              <w:rPr>
                <w:rFonts w:ascii="Arial" w:cs="Arial" w:eastAsia="Arial" w:hAnsi="Arial"/>
                <w:b/>
                <w:bCs/>
                <w:color w:val="FFFFFF"/>
                <w:sz w:val="18"/>
                <w:szCs w:val="18"/>
              </w:rPr>
              <w:t xml:space="preserve">Assessment</w:t>
            </w:r>
          </w:p>
        </w:tc>
      </w:tr>
      <w:tr>
        <w:tc>
          <w:tcPr>
            <w:tcW w:type="dxa" w:w="500"/>
            <w:tcBorders>
              <w:top w:val="single" w:color="DDDDDD" w:sz="1"/>
              <w:left w:val="single" w:color="DDDDDD" w:sz="1"/>
              <w:bottom w:val="single" w:color="DDDDDD" w:sz="1"/>
              <w:right w:val="single" w:color="DDDDDD" w:sz="1"/>
            </w:tcBorders>
            <w:shd w:fill="EAF5EE" w:val="clear"/>
            <w:tcMar>
              <w:top w:type="dxa" w:w="80"/>
              <w:left w:type="dxa" w:w="100"/>
              <w:bottom w:type="dxa" w:w="80"/>
              <w:right w:type="dxa" w:w="80"/>
            </w:tcMar>
          </w:tcPr>
          <w:p>
            <w:pPr>
              <w:jc w:val="center"/>
            </w:pPr>
            <w:r>
              <w:rPr>
                <w:rFonts w:ascii="Arial" w:cs="Arial" w:eastAsia="Arial" w:hAnsi="Arial"/>
                <w:b/>
                <w:bCs/>
                <w:color w:val="1A5C38"/>
                <w:sz w:val="18"/>
                <w:szCs w:val="18"/>
              </w:rPr>
              <w:t xml:space="preserve">P1</w:t>
            </w:r>
          </w:p>
        </w:tc>
        <w:tc>
          <w:tcPr>
            <w:tcW w:type="dxa" w:w="5426"/>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r>
              <w:rPr>
                <w:rFonts w:ascii="Georgia" w:cs="Georgia" w:eastAsia="Georgia" w:hAnsi="Georgia"/>
                <w:color w:val="1A1A1A"/>
                <w:sz w:val="21"/>
                <w:szCs w:val="21"/>
              </w:rPr>
              <w:t xml:space="preserve">Layered System Alignment</w:t>
            </w:r>
          </w:p>
        </w:tc>
        <w:tc>
          <w:tcPr>
            <w:tcW w:type="dxa" w:w="3100"/>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pPr>
              <w:jc w:val="center"/>
            </w:pPr>
            <w:r>
              <w:rPr>
                <w:rFonts w:ascii="Arial" w:cs="Arial" w:eastAsia="Arial" w:hAnsi="Arial"/>
                <w:b/>
                <w:bCs/>
                <w:color w:val="1A5C38"/>
                <w:sz w:val="17"/>
                <w:szCs w:val="17"/>
              </w:rPr>
              <w:t xml:space="preserve">●  Strong Alignment</w:t>
            </w:r>
          </w:p>
        </w:tc>
      </w:tr>
      <w:tr>
        <w:tc>
          <w:tcPr>
            <w:tcW w:type="dxa" w:w="500"/>
            <w:tcBorders>
              <w:top w:val="single" w:color="DDDDDD" w:sz="1"/>
              <w:left w:val="single" w:color="DDDDDD" w:sz="1"/>
              <w:bottom w:val="single" w:color="DDDDDD" w:sz="1"/>
              <w:right w:val="single" w:color="DDDDDD" w:sz="1"/>
            </w:tcBorders>
            <w:shd w:fill="EAF5EE" w:val="clear"/>
            <w:tcMar>
              <w:top w:type="dxa" w:w="80"/>
              <w:left w:type="dxa" w:w="100"/>
              <w:bottom w:type="dxa" w:w="80"/>
              <w:right w:type="dxa" w:w="80"/>
            </w:tcMar>
          </w:tcPr>
          <w:p>
            <w:pPr>
              <w:jc w:val="center"/>
            </w:pPr>
            <w:r>
              <w:rPr>
                <w:rFonts w:ascii="Arial" w:cs="Arial" w:eastAsia="Arial" w:hAnsi="Arial"/>
                <w:b/>
                <w:bCs/>
                <w:color w:val="1A5C38"/>
                <w:sz w:val="18"/>
                <w:szCs w:val="18"/>
              </w:rPr>
              <w:t xml:space="preserve">P2</w:t>
            </w:r>
          </w:p>
        </w:tc>
        <w:tc>
          <w:tcPr>
            <w:tcW w:type="dxa" w:w="5426"/>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r>
              <w:rPr>
                <w:rFonts w:ascii="Georgia" w:cs="Georgia" w:eastAsia="Georgia" w:hAnsi="Georgia"/>
                <w:color w:val="1A1A1A"/>
                <w:sz w:val="21"/>
                <w:szCs w:val="21"/>
              </w:rPr>
              <w:t xml:space="preserve">Distributed and Staged Decision-Making</w:t>
            </w:r>
          </w:p>
        </w:tc>
        <w:tc>
          <w:tcPr>
            <w:tcW w:type="dxa" w:w="3100"/>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pPr>
              <w:jc w:val="center"/>
            </w:pPr>
            <w:r>
              <w:rPr>
                <w:rFonts w:ascii="Arial" w:cs="Arial" w:eastAsia="Arial" w:hAnsi="Arial"/>
                <w:b/>
                <w:bCs/>
                <w:color w:val="1A5C38"/>
                <w:sz w:val="17"/>
                <w:szCs w:val="17"/>
              </w:rPr>
              <w:t xml:space="preserve">●  Strong Alignment</w:t>
            </w:r>
          </w:p>
        </w:tc>
      </w:tr>
      <w:tr>
        <w:tc>
          <w:tcPr>
            <w:tcW w:type="dxa" w:w="500"/>
            <w:tcBorders>
              <w:top w:val="single" w:color="DDDDDD" w:sz="1"/>
              <w:left w:val="single" w:color="DDDDDD" w:sz="1"/>
              <w:bottom w:val="single" w:color="DDDDDD" w:sz="1"/>
              <w:right w:val="single" w:color="DDDDDD" w:sz="1"/>
            </w:tcBorders>
            <w:shd w:fill="FDF6EC" w:val="clear"/>
            <w:tcMar>
              <w:top w:type="dxa" w:w="80"/>
              <w:left w:type="dxa" w:w="100"/>
              <w:bottom w:type="dxa" w:w="80"/>
              <w:right w:type="dxa" w:w="80"/>
            </w:tcMar>
          </w:tcPr>
          <w:p>
            <w:pPr>
              <w:jc w:val="center"/>
            </w:pPr>
            <w:r>
              <w:rPr>
                <w:rFonts w:ascii="Arial" w:cs="Arial" w:eastAsia="Arial" w:hAnsi="Arial"/>
                <w:b/>
                <w:bCs/>
                <w:color w:val="7A4A00"/>
                <w:sz w:val="18"/>
                <w:szCs w:val="18"/>
              </w:rPr>
              <w:t xml:space="preserve">P3</w:t>
            </w:r>
          </w:p>
        </w:tc>
        <w:tc>
          <w:tcPr>
            <w:tcW w:type="dxa" w:w="5426"/>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r>
              <w:rPr>
                <w:rFonts w:ascii="Georgia" w:cs="Georgia" w:eastAsia="Georgia" w:hAnsi="Georgia"/>
                <w:color w:val="1A1A1A"/>
                <w:sz w:val="21"/>
                <w:szCs w:val="21"/>
              </w:rPr>
              <w:t xml:space="preserve">Collegial Governance</w:t>
            </w:r>
          </w:p>
        </w:tc>
        <w:tc>
          <w:tcPr>
            <w:tcW w:type="dxa" w:w="3100"/>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pPr>
              <w:jc w:val="center"/>
            </w:pPr>
            <w:r>
              <w:rPr>
                <w:rFonts w:ascii="Arial" w:cs="Arial" w:eastAsia="Arial" w:hAnsi="Arial"/>
                <w:b/>
                <w:bCs/>
                <w:color w:val="7A4A00"/>
                <w:sz w:val="17"/>
                <w:szCs w:val="17"/>
              </w:rPr>
              <w:t xml:space="preserve">◑  Partial</w:t>
            </w:r>
          </w:p>
        </w:tc>
      </w:tr>
      <w:tr>
        <w:tc>
          <w:tcPr>
            <w:tcW w:type="dxa" w:w="500"/>
            <w:tcBorders>
              <w:top w:val="single" w:color="DDDDDD" w:sz="1"/>
              <w:left w:val="single" w:color="DDDDDD" w:sz="1"/>
              <w:bottom w:val="single" w:color="DDDDDD" w:sz="1"/>
              <w:right w:val="single" w:color="DDDDDD" w:sz="1"/>
            </w:tcBorders>
            <w:shd w:fill="FAF0EE" w:val="clear"/>
            <w:tcMar>
              <w:top w:type="dxa" w:w="80"/>
              <w:left w:type="dxa" w:w="100"/>
              <w:bottom w:type="dxa" w:w="80"/>
              <w:right w:type="dxa" w:w="80"/>
            </w:tcMar>
          </w:tcPr>
          <w:p>
            <w:pPr>
              <w:jc w:val="center"/>
            </w:pPr>
            <w:r>
              <w:rPr>
                <w:rFonts w:ascii="Arial" w:cs="Arial" w:eastAsia="Arial" w:hAnsi="Arial"/>
                <w:b/>
                <w:bCs/>
                <w:color w:val="8B1A1A"/>
                <w:sz w:val="18"/>
                <w:szCs w:val="18"/>
              </w:rPr>
              <w:t xml:space="preserve">P4</w:t>
            </w:r>
          </w:p>
        </w:tc>
        <w:tc>
          <w:tcPr>
            <w:tcW w:type="dxa" w:w="5426"/>
            <w:tcBorders>
              <w:top w:val="single" w:color="DDDDDD" w:sz="1"/>
              <w:left w:val="single" w:color="DDDDDD" w:sz="1"/>
              <w:bottom w:val="single" w:color="DDDDDD" w:sz="1"/>
              <w:right w:val="single" w:color="DDDDDD" w:sz="1"/>
            </w:tcBorders>
            <w:shd w:fill="FAF0EE" w:val="clear"/>
            <w:tcMar>
              <w:top w:type="dxa" w:w="80"/>
              <w:left w:type="dxa" w:w="140"/>
              <w:bottom w:type="dxa" w:w="80"/>
              <w:right w:type="dxa" w:w="100"/>
            </w:tcMar>
          </w:tcPr>
          <w:p>
            <w:r>
              <w:rPr>
                <w:rFonts w:ascii="Georgia" w:cs="Georgia" w:eastAsia="Georgia" w:hAnsi="Georgia"/>
                <w:color w:val="1A1A1A"/>
                <w:sz w:val="21"/>
                <w:szCs w:val="21"/>
              </w:rPr>
              <w:t xml:space="preserve">Participatory Strategy Formation</w:t>
            </w:r>
          </w:p>
        </w:tc>
        <w:tc>
          <w:tcPr>
            <w:tcW w:type="dxa" w:w="3100"/>
            <w:tcBorders>
              <w:top w:val="single" w:color="DDDDDD" w:sz="1"/>
              <w:left w:val="single" w:color="DDDDDD" w:sz="1"/>
              <w:bottom w:val="single" w:color="DDDDDD" w:sz="1"/>
              <w:right w:val="single" w:color="DDDDDD" w:sz="1"/>
            </w:tcBorders>
            <w:shd w:fill="FAF0EE" w:val="clear"/>
            <w:tcMar>
              <w:top w:type="dxa" w:w="80"/>
              <w:left w:type="dxa" w:w="140"/>
              <w:bottom w:type="dxa" w:w="80"/>
              <w:right w:type="dxa" w:w="100"/>
            </w:tcMar>
          </w:tcPr>
          <w:p>
            <w:pPr>
              <w:jc w:val="center"/>
            </w:pPr>
            <w:r>
              <w:rPr>
                <w:rFonts w:ascii="Arial" w:cs="Arial" w:eastAsia="Arial" w:hAnsi="Arial"/>
                <w:b/>
                <w:bCs/>
                <w:color w:val="8B1A1A"/>
                <w:sz w:val="17"/>
                <w:szCs w:val="17"/>
              </w:rPr>
              <w:t xml:space="preserve">○  Gap</w:t>
            </w:r>
          </w:p>
        </w:tc>
      </w:tr>
      <w:tr>
        <w:tc>
          <w:tcPr>
            <w:tcW w:type="dxa" w:w="500"/>
            <w:tcBorders>
              <w:top w:val="single" w:color="DDDDDD" w:sz="1"/>
              <w:left w:val="single" w:color="DDDDDD" w:sz="1"/>
              <w:bottom w:val="single" w:color="DDDDDD" w:sz="1"/>
              <w:right w:val="single" w:color="DDDDDD" w:sz="1"/>
            </w:tcBorders>
            <w:shd w:fill="FDF6EC" w:val="clear"/>
            <w:tcMar>
              <w:top w:type="dxa" w:w="80"/>
              <w:left w:type="dxa" w:w="100"/>
              <w:bottom w:type="dxa" w:w="80"/>
              <w:right w:type="dxa" w:w="80"/>
            </w:tcMar>
          </w:tcPr>
          <w:p>
            <w:pPr>
              <w:jc w:val="center"/>
            </w:pPr>
            <w:r>
              <w:rPr>
                <w:rFonts w:ascii="Arial" w:cs="Arial" w:eastAsia="Arial" w:hAnsi="Arial"/>
                <w:b/>
                <w:bCs/>
                <w:color w:val="7A4A00"/>
                <w:sz w:val="18"/>
                <w:szCs w:val="18"/>
              </w:rPr>
              <w:t xml:space="preserve">P5</w:t>
            </w:r>
          </w:p>
        </w:tc>
        <w:tc>
          <w:tcPr>
            <w:tcW w:type="dxa" w:w="5426"/>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r>
              <w:rPr>
                <w:rFonts w:ascii="Georgia" w:cs="Georgia" w:eastAsia="Georgia" w:hAnsi="Georgia"/>
                <w:color w:val="1A1A1A"/>
                <w:sz w:val="21"/>
                <w:szCs w:val="21"/>
              </w:rPr>
              <w:t xml:space="preserve">Strategic Clarity and Feasibility</w:t>
            </w:r>
          </w:p>
        </w:tc>
        <w:tc>
          <w:tcPr>
            <w:tcW w:type="dxa" w:w="3100"/>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pPr>
              <w:jc w:val="center"/>
            </w:pPr>
            <w:r>
              <w:rPr>
                <w:rFonts w:ascii="Arial" w:cs="Arial" w:eastAsia="Arial" w:hAnsi="Arial"/>
                <w:b/>
                <w:bCs/>
                <w:color w:val="7A4A00"/>
                <w:sz w:val="17"/>
                <w:szCs w:val="17"/>
              </w:rPr>
              <w:t xml:space="preserve">◑  Partial</w:t>
            </w:r>
          </w:p>
        </w:tc>
      </w:tr>
      <w:tr>
        <w:tc>
          <w:tcPr>
            <w:tcW w:type="dxa" w:w="500"/>
            <w:tcBorders>
              <w:top w:val="single" w:color="DDDDDD" w:sz="1"/>
              <w:left w:val="single" w:color="DDDDDD" w:sz="1"/>
              <w:bottom w:val="single" w:color="DDDDDD" w:sz="1"/>
              <w:right w:val="single" w:color="DDDDDD" w:sz="1"/>
            </w:tcBorders>
            <w:shd w:fill="FDF6EC" w:val="clear"/>
            <w:tcMar>
              <w:top w:type="dxa" w:w="80"/>
              <w:left w:type="dxa" w:w="100"/>
              <w:bottom w:type="dxa" w:w="80"/>
              <w:right w:type="dxa" w:w="80"/>
            </w:tcMar>
          </w:tcPr>
          <w:p>
            <w:pPr>
              <w:jc w:val="center"/>
            </w:pPr>
            <w:r>
              <w:rPr>
                <w:rFonts w:ascii="Arial" w:cs="Arial" w:eastAsia="Arial" w:hAnsi="Arial"/>
                <w:b/>
                <w:bCs/>
                <w:color w:val="7A4A00"/>
                <w:sz w:val="18"/>
                <w:szCs w:val="18"/>
              </w:rPr>
              <w:t xml:space="preserve">P6</w:t>
            </w:r>
          </w:p>
        </w:tc>
        <w:tc>
          <w:tcPr>
            <w:tcW w:type="dxa" w:w="5426"/>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r>
              <w:rPr>
                <w:rFonts w:ascii="Georgia" w:cs="Georgia" w:eastAsia="Georgia" w:hAnsi="Georgia"/>
                <w:color w:val="1A1A1A"/>
                <w:sz w:val="21"/>
                <w:szCs w:val="21"/>
              </w:rPr>
              <w:t xml:space="preserve">Continuous Feedback and Adaptive Execution</w:t>
            </w:r>
          </w:p>
        </w:tc>
        <w:tc>
          <w:tcPr>
            <w:tcW w:type="dxa" w:w="3100"/>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pPr>
              <w:jc w:val="center"/>
            </w:pPr>
            <w:r>
              <w:rPr>
                <w:rFonts w:ascii="Arial" w:cs="Arial" w:eastAsia="Arial" w:hAnsi="Arial"/>
                <w:b/>
                <w:bCs/>
                <w:color w:val="7A4A00"/>
                <w:sz w:val="17"/>
                <w:szCs w:val="17"/>
              </w:rPr>
              <w:t xml:space="preserve">◑  Partial</w:t>
            </w:r>
          </w:p>
        </w:tc>
      </w:tr>
      <w:tr>
        <w:tc>
          <w:tcPr>
            <w:tcW w:type="dxa" w:w="500"/>
            <w:tcBorders>
              <w:top w:val="single" w:color="DDDDDD" w:sz="1"/>
              <w:left w:val="single" w:color="DDDDDD" w:sz="1"/>
              <w:bottom w:val="single" w:color="DDDDDD" w:sz="1"/>
              <w:right w:val="single" w:color="DDDDDD" w:sz="1"/>
            </w:tcBorders>
            <w:shd w:fill="FAF0EE" w:val="clear"/>
            <w:tcMar>
              <w:top w:type="dxa" w:w="80"/>
              <w:left w:type="dxa" w:w="100"/>
              <w:bottom w:type="dxa" w:w="80"/>
              <w:right w:type="dxa" w:w="80"/>
            </w:tcMar>
          </w:tcPr>
          <w:p>
            <w:pPr>
              <w:jc w:val="center"/>
            </w:pPr>
            <w:r>
              <w:rPr>
                <w:rFonts w:ascii="Arial" w:cs="Arial" w:eastAsia="Arial" w:hAnsi="Arial"/>
                <w:b/>
                <w:bCs/>
                <w:color w:val="8B1A1A"/>
                <w:sz w:val="18"/>
                <w:szCs w:val="18"/>
              </w:rPr>
              <w:t xml:space="preserve">P7</w:t>
            </w:r>
          </w:p>
        </w:tc>
        <w:tc>
          <w:tcPr>
            <w:tcW w:type="dxa" w:w="5426"/>
            <w:tcBorders>
              <w:top w:val="single" w:color="DDDDDD" w:sz="1"/>
              <w:left w:val="single" w:color="DDDDDD" w:sz="1"/>
              <w:bottom w:val="single" w:color="DDDDDD" w:sz="1"/>
              <w:right w:val="single" w:color="DDDDDD" w:sz="1"/>
            </w:tcBorders>
            <w:shd w:fill="FAF0EE" w:val="clear"/>
            <w:tcMar>
              <w:top w:type="dxa" w:w="80"/>
              <w:left w:type="dxa" w:w="140"/>
              <w:bottom w:type="dxa" w:w="80"/>
              <w:right w:type="dxa" w:w="100"/>
            </w:tcMar>
          </w:tcPr>
          <w:p>
            <w:r>
              <w:rPr>
                <w:rFonts w:ascii="Georgia" w:cs="Georgia" w:eastAsia="Georgia" w:hAnsi="Georgia"/>
                <w:color w:val="1A1A1A"/>
                <w:sz w:val="21"/>
                <w:szCs w:val="21"/>
              </w:rPr>
              <w:t xml:space="preserve">Transformation-Oriented Performance</w:t>
            </w:r>
          </w:p>
        </w:tc>
        <w:tc>
          <w:tcPr>
            <w:tcW w:type="dxa" w:w="3100"/>
            <w:tcBorders>
              <w:top w:val="single" w:color="DDDDDD" w:sz="1"/>
              <w:left w:val="single" w:color="DDDDDD" w:sz="1"/>
              <w:bottom w:val="single" w:color="DDDDDD" w:sz="1"/>
              <w:right w:val="single" w:color="DDDDDD" w:sz="1"/>
            </w:tcBorders>
            <w:shd w:fill="FAF0EE" w:val="clear"/>
            <w:tcMar>
              <w:top w:type="dxa" w:w="80"/>
              <w:left w:type="dxa" w:w="140"/>
              <w:bottom w:type="dxa" w:w="80"/>
              <w:right w:type="dxa" w:w="100"/>
            </w:tcMar>
          </w:tcPr>
          <w:p>
            <w:pPr>
              <w:jc w:val="center"/>
            </w:pPr>
            <w:r>
              <w:rPr>
                <w:rFonts w:ascii="Arial" w:cs="Arial" w:eastAsia="Arial" w:hAnsi="Arial"/>
                <w:b/>
                <w:bCs/>
                <w:color w:val="8B1A1A"/>
                <w:sz w:val="17"/>
                <w:szCs w:val="17"/>
              </w:rPr>
              <w:t xml:space="preserve">○  Gap</w:t>
            </w:r>
          </w:p>
        </w:tc>
      </w:tr>
      <w:tr>
        <w:tc>
          <w:tcPr>
            <w:tcW w:type="dxa" w:w="500"/>
            <w:tcBorders>
              <w:top w:val="single" w:color="DDDDDD" w:sz="1"/>
              <w:left w:val="single" w:color="DDDDDD" w:sz="1"/>
              <w:bottom w:val="single" w:color="DDDDDD" w:sz="1"/>
              <w:right w:val="single" w:color="DDDDDD" w:sz="1"/>
            </w:tcBorders>
            <w:shd w:fill="FDF6EC" w:val="clear"/>
            <w:tcMar>
              <w:top w:type="dxa" w:w="80"/>
              <w:left w:type="dxa" w:w="100"/>
              <w:bottom w:type="dxa" w:w="80"/>
              <w:right w:type="dxa" w:w="80"/>
            </w:tcMar>
          </w:tcPr>
          <w:p>
            <w:pPr>
              <w:jc w:val="center"/>
            </w:pPr>
            <w:r>
              <w:rPr>
                <w:rFonts w:ascii="Arial" w:cs="Arial" w:eastAsia="Arial" w:hAnsi="Arial"/>
                <w:b/>
                <w:bCs/>
                <w:color w:val="7A4A00"/>
                <w:sz w:val="18"/>
                <w:szCs w:val="18"/>
              </w:rPr>
              <w:t xml:space="preserve">P8</w:t>
            </w:r>
          </w:p>
        </w:tc>
        <w:tc>
          <w:tcPr>
            <w:tcW w:type="dxa" w:w="5426"/>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r>
              <w:rPr>
                <w:rFonts w:ascii="Georgia" w:cs="Georgia" w:eastAsia="Georgia" w:hAnsi="Georgia"/>
                <w:color w:val="1A1A1A"/>
                <w:sz w:val="21"/>
                <w:szCs w:val="21"/>
              </w:rPr>
              <w:t xml:space="preserve">Committees as Distributed Intelligence</w:t>
            </w:r>
          </w:p>
        </w:tc>
        <w:tc>
          <w:tcPr>
            <w:tcW w:type="dxa" w:w="3100"/>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pPr>
              <w:jc w:val="center"/>
            </w:pPr>
            <w:r>
              <w:rPr>
                <w:rFonts w:ascii="Arial" w:cs="Arial" w:eastAsia="Arial" w:hAnsi="Arial"/>
                <w:b/>
                <w:bCs/>
                <w:color w:val="7A4A00"/>
                <w:sz w:val="17"/>
                <w:szCs w:val="17"/>
              </w:rPr>
              <w:t xml:space="preserve">◑  Partial</w:t>
            </w:r>
          </w:p>
        </w:tc>
      </w:tr>
      <w:tr>
        <w:tc>
          <w:tcPr>
            <w:tcW w:type="dxa" w:w="500"/>
            <w:tcBorders>
              <w:top w:val="single" w:color="DDDDDD" w:sz="1"/>
              <w:left w:val="single" w:color="DDDDDD" w:sz="1"/>
              <w:bottom w:val="single" w:color="DDDDDD" w:sz="1"/>
              <w:right w:val="single" w:color="DDDDDD" w:sz="1"/>
            </w:tcBorders>
            <w:shd w:fill="EAF5EE" w:val="clear"/>
            <w:tcMar>
              <w:top w:type="dxa" w:w="80"/>
              <w:left w:type="dxa" w:w="100"/>
              <w:bottom w:type="dxa" w:w="80"/>
              <w:right w:type="dxa" w:w="80"/>
            </w:tcMar>
          </w:tcPr>
          <w:p>
            <w:pPr>
              <w:jc w:val="center"/>
            </w:pPr>
            <w:r>
              <w:rPr>
                <w:rFonts w:ascii="Arial" w:cs="Arial" w:eastAsia="Arial" w:hAnsi="Arial"/>
                <w:b/>
                <w:bCs/>
                <w:color w:val="1A5C38"/>
                <w:sz w:val="18"/>
                <w:szCs w:val="18"/>
              </w:rPr>
              <w:t xml:space="preserve">P9</w:t>
            </w:r>
          </w:p>
        </w:tc>
        <w:tc>
          <w:tcPr>
            <w:tcW w:type="dxa" w:w="5426"/>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r>
              <w:rPr>
                <w:rFonts w:ascii="Georgia" w:cs="Georgia" w:eastAsia="Georgia" w:hAnsi="Georgia"/>
                <w:color w:val="1A1A1A"/>
                <w:sz w:val="21"/>
                <w:szCs w:val="21"/>
              </w:rPr>
              <w:t xml:space="preserve">Role Clarity and Mandate Transparency</w:t>
            </w:r>
          </w:p>
        </w:tc>
        <w:tc>
          <w:tcPr>
            <w:tcW w:type="dxa" w:w="3100"/>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pPr>
              <w:jc w:val="center"/>
            </w:pPr>
            <w:r>
              <w:rPr>
                <w:rFonts w:ascii="Arial" w:cs="Arial" w:eastAsia="Arial" w:hAnsi="Arial"/>
                <w:b/>
                <w:bCs/>
                <w:color w:val="1A5C38"/>
                <w:sz w:val="17"/>
                <w:szCs w:val="17"/>
              </w:rPr>
              <w:t xml:space="preserve">●  Strong Alignment</w:t>
            </w:r>
          </w:p>
        </w:tc>
      </w:tr>
      <w:tr>
        <w:tc>
          <w:tcPr>
            <w:tcW w:type="dxa" w:w="500"/>
            <w:tcBorders>
              <w:top w:val="single" w:color="DDDDDD" w:sz="1"/>
              <w:left w:val="single" w:color="DDDDDD" w:sz="1"/>
              <w:bottom w:val="single" w:color="DDDDDD" w:sz="1"/>
              <w:right w:val="single" w:color="DDDDDD" w:sz="1"/>
            </w:tcBorders>
            <w:shd w:fill="EAF5EE" w:val="clear"/>
            <w:tcMar>
              <w:top w:type="dxa" w:w="80"/>
              <w:left w:type="dxa" w:w="100"/>
              <w:bottom w:type="dxa" w:w="80"/>
              <w:right w:type="dxa" w:w="80"/>
            </w:tcMar>
          </w:tcPr>
          <w:p>
            <w:pPr>
              <w:jc w:val="center"/>
            </w:pPr>
            <w:r>
              <w:rPr>
                <w:rFonts w:ascii="Arial" w:cs="Arial" w:eastAsia="Arial" w:hAnsi="Arial"/>
                <w:b/>
                <w:bCs/>
                <w:color w:val="1A5C38"/>
                <w:sz w:val="18"/>
                <w:szCs w:val="18"/>
              </w:rPr>
              <w:t xml:space="preserve">P10</w:t>
            </w:r>
          </w:p>
        </w:tc>
        <w:tc>
          <w:tcPr>
            <w:tcW w:type="dxa" w:w="5426"/>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r>
              <w:rPr>
                <w:rFonts w:ascii="Georgia" w:cs="Georgia" w:eastAsia="Georgia" w:hAnsi="Georgia"/>
                <w:color w:val="1A1A1A"/>
                <w:sz w:val="21"/>
                <w:szCs w:val="21"/>
              </w:rPr>
              <w:t xml:space="preserve">Checks and Balances</w:t>
            </w:r>
          </w:p>
        </w:tc>
        <w:tc>
          <w:tcPr>
            <w:tcW w:type="dxa" w:w="3100"/>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pPr>
              <w:jc w:val="center"/>
            </w:pPr>
            <w:r>
              <w:rPr>
                <w:rFonts w:ascii="Arial" w:cs="Arial" w:eastAsia="Arial" w:hAnsi="Arial"/>
                <w:b/>
                <w:bCs/>
                <w:color w:val="1A5C38"/>
                <w:sz w:val="17"/>
                <w:szCs w:val="17"/>
              </w:rPr>
              <w:t xml:space="preserve">●  Strong Alignment</w:t>
            </w:r>
          </w:p>
        </w:tc>
      </w:tr>
      <w:tr>
        <w:tc>
          <w:tcPr>
            <w:tcW w:type="dxa" w:w="500"/>
            <w:tcBorders>
              <w:top w:val="single" w:color="DDDDDD" w:sz="1"/>
              <w:left w:val="single" w:color="DDDDDD" w:sz="1"/>
              <w:bottom w:val="single" w:color="DDDDDD" w:sz="1"/>
              <w:right w:val="single" w:color="DDDDDD" w:sz="1"/>
            </w:tcBorders>
            <w:shd w:fill="FDF6EC" w:val="clear"/>
            <w:tcMar>
              <w:top w:type="dxa" w:w="80"/>
              <w:left w:type="dxa" w:w="100"/>
              <w:bottom w:type="dxa" w:w="80"/>
              <w:right w:type="dxa" w:w="80"/>
            </w:tcMar>
          </w:tcPr>
          <w:p>
            <w:pPr>
              <w:jc w:val="center"/>
            </w:pPr>
            <w:r>
              <w:rPr>
                <w:rFonts w:ascii="Arial" w:cs="Arial" w:eastAsia="Arial" w:hAnsi="Arial"/>
                <w:b/>
                <w:bCs/>
                <w:color w:val="7A4A00"/>
                <w:sz w:val="18"/>
                <w:szCs w:val="18"/>
              </w:rPr>
              <w:t xml:space="preserve">P11</w:t>
            </w:r>
          </w:p>
        </w:tc>
        <w:tc>
          <w:tcPr>
            <w:tcW w:type="dxa" w:w="5426"/>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r>
              <w:rPr>
                <w:rFonts w:ascii="Georgia" w:cs="Georgia" w:eastAsia="Georgia" w:hAnsi="Georgia"/>
                <w:color w:val="1A1A1A"/>
                <w:sz w:val="21"/>
                <w:szCs w:val="21"/>
              </w:rPr>
              <w:t xml:space="preserve">Professionalisation of Leadership</w:t>
            </w:r>
          </w:p>
        </w:tc>
        <w:tc>
          <w:tcPr>
            <w:tcW w:type="dxa" w:w="3100"/>
            <w:tcBorders>
              <w:top w:val="single" w:color="DDDDDD" w:sz="1"/>
              <w:left w:val="single" w:color="DDDDDD" w:sz="1"/>
              <w:bottom w:val="single" w:color="DDDDDD" w:sz="1"/>
              <w:right w:val="single" w:color="DDDDDD" w:sz="1"/>
            </w:tcBorders>
            <w:shd w:fill="FDF6EC" w:val="clear"/>
            <w:tcMar>
              <w:top w:type="dxa" w:w="80"/>
              <w:left w:type="dxa" w:w="140"/>
              <w:bottom w:type="dxa" w:w="80"/>
              <w:right w:type="dxa" w:w="100"/>
            </w:tcMar>
          </w:tcPr>
          <w:p>
            <w:pPr>
              <w:jc w:val="center"/>
            </w:pPr>
            <w:r>
              <w:rPr>
                <w:rFonts w:ascii="Arial" w:cs="Arial" w:eastAsia="Arial" w:hAnsi="Arial"/>
                <w:b/>
                <w:bCs/>
                <w:color w:val="7A4A00"/>
                <w:sz w:val="17"/>
                <w:szCs w:val="17"/>
              </w:rPr>
              <w:t xml:space="preserve">◑  Partial</w:t>
            </w:r>
          </w:p>
        </w:tc>
      </w:tr>
      <w:tr>
        <w:tc>
          <w:tcPr>
            <w:tcW w:type="dxa" w:w="500"/>
            <w:tcBorders>
              <w:top w:val="single" w:color="DDDDDD" w:sz="1"/>
              <w:left w:val="single" w:color="DDDDDD" w:sz="1"/>
              <w:bottom w:val="single" w:color="DDDDDD" w:sz="1"/>
              <w:right w:val="single" w:color="DDDDDD" w:sz="1"/>
            </w:tcBorders>
            <w:shd w:fill="EAF5EE" w:val="clear"/>
            <w:tcMar>
              <w:top w:type="dxa" w:w="80"/>
              <w:left w:type="dxa" w:w="100"/>
              <w:bottom w:type="dxa" w:w="80"/>
              <w:right w:type="dxa" w:w="80"/>
            </w:tcMar>
          </w:tcPr>
          <w:p>
            <w:pPr>
              <w:jc w:val="center"/>
            </w:pPr>
            <w:r>
              <w:rPr>
                <w:rFonts w:ascii="Arial" w:cs="Arial" w:eastAsia="Arial" w:hAnsi="Arial"/>
                <w:b/>
                <w:bCs/>
                <w:color w:val="1A5C38"/>
                <w:sz w:val="18"/>
                <w:szCs w:val="18"/>
              </w:rPr>
              <w:t xml:space="preserve">P12</w:t>
            </w:r>
          </w:p>
        </w:tc>
        <w:tc>
          <w:tcPr>
            <w:tcW w:type="dxa" w:w="5426"/>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r>
              <w:rPr>
                <w:rFonts w:ascii="Georgia" w:cs="Georgia" w:eastAsia="Georgia" w:hAnsi="Georgia"/>
                <w:color w:val="1A1A1A"/>
                <w:sz w:val="21"/>
                <w:szCs w:val="21"/>
              </w:rPr>
              <w:t xml:space="preserve">University as Socially Embedded</w:t>
            </w:r>
          </w:p>
        </w:tc>
        <w:tc>
          <w:tcPr>
            <w:tcW w:type="dxa" w:w="3100"/>
            <w:tcBorders>
              <w:top w:val="single" w:color="DDDDDD" w:sz="1"/>
              <w:left w:val="single" w:color="DDDDDD" w:sz="1"/>
              <w:bottom w:val="single" w:color="DDDDDD" w:sz="1"/>
              <w:right w:val="single" w:color="DDDDDD" w:sz="1"/>
            </w:tcBorders>
            <w:shd w:fill="EAF5EE" w:val="clear"/>
            <w:tcMar>
              <w:top w:type="dxa" w:w="80"/>
              <w:left w:type="dxa" w:w="140"/>
              <w:bottom w:type="dxa" w:w="80"/>
              <w:right w:type="dxa" w:w="100"/>
            </w:tcMar>
          </w:tcPr>
          <w:p>
            <w:pPr>
              <w:jc w:val="center"/>
            </w:pPr>
            <w:r>
              <w:rPr>
                <w:rFonts w:ascii="Arial" w:cs="Arial" w:eastAsia="Arial" w:hAnsi="Arial"/>
                <w:b/>
                <w:bCs/>
                <w:color w:val="1A5C38"/>
                <w:sz w:val="17"/>
                <w:szCs w:val="17"/>
              </w:rPr>
              <w:t xml:space="preserve">●  Strong Alignment</w:t>
            </w:r>
          </w:p>
        </w:tc>
      </w:tr>
    </w:tbl>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Five principles are rated Strong Alignment: layered system architecture, distributed decision-making, role clarity, checks and balances, and societal embeddedness. These are the load-bearing elements of the OUG design — the features that distinguish it from both traditional universities and from informal consortia.</w:t>
      </w:r>
    </w:p>
    <w:p>
      <w:pPr>
        <w:spacing w:before="0" w:after="185"/>
        <w:ind/>
        <w:jc w:val="both"/>
      </w:pPr>
      <w:r>
        <w:rPr>
          <w:rFonts w:ascii="Georgia" w:cs="Georgia" w:eastAsia="Georgia" w:hAnsi="Georgia"/>
          <w:b w:val="false"/>
          <w:bCs w:val="false"/>
          <w:i w:val="false"/>
          <w:iCs w:val="false"/>
          <w:color w:val="1A1A1A"/>
          <w:sz w:val="23"/>
          <w:szCs w:val="23"/>
        </w:rPr>
        <w:t xml:space="preserve">Five principles are rated Partial: collegial governance, strategic clarity, continuous feedback, committees as intelligence nodes, and leadership professionalisation. These are present in intention but not yet operationalised with sufficient precision. They require specific additional documents or mechanisms.</w:t>
      </w:r>
    </w:p>
    <w:p>
      <w:pPr>
        <w:spacing w:before="0" w:after="185"/>
        <w:ind/>
        <w:jc w:val="both"/>
      </w:pPr>
      <w:r>
        <w:rPr>
          <w:rFonts w:ascii="Georgia" w:cs="Georgia" w:eastAsia="Georgia" w:hAnsi="Georgia"/>
          <w:b w:val="false"/>
          <w:bCs w:val="false"/>
          <w:i w:val="false"/>
          <w:iCs w:val="false"/>
          <w:color w:val="1A1A1A"/>
          <w:sz w:val="23"/>
          <w:szCs w:val="23"/>
        </w:rPr>
        <w:t xml:space="preserve">Two principles are rated Gap: participatory strategy formation and transformation-oriented performance management. These are absent from the current document stack in any meaningful sense. They are not minor additions — they are foundational to how the institution will govern itself once it is running.</w:t>
      </w:r>
    </w:p>
    <w:p>
      <w:pPr>
        <w:spacing w:before="0" w:after="200"/>
      </w:pPr>
    </w:p>
    <w:p>
      <w:pPr>
        <w:pBdr>
          <w:bottom w:val="single" w:color="CCCCCC" w:sz="2" w:space="1"/>
        </w:pBdr>
        <w:spacing w:before="180" w:after="180"/>
      </w:pPr>
    </w:p>
    <w:p>
      <w:pPr>
        <w:pStyle w:val="Heading1"/>
        <w:spacing w:before="480" w:after="140"/>
      </w:pPr>
      <w:r>
        <w:rPr>
          <w:rFonts w:ascii="Georgia" w:cs="Georgia" w:eastAsia="Georgia" w:hAnsi="Georgia"/>
          <w:b/>
          <w:bCs/>
          <w:color w:val="1F3864"/>
          <w:sz w:val="30"/>
          <w:szCs w:val="30"/>
        </w:rPr>
        <w:t xml:space="preserve">IV.  Three Priority Actions</w:t>
      </w:r>
    </w:p>
    <w:p>
      <w:pPr>
        <w:spacing w:before="0" w:after="185"/>
        <w:ind/>
        <w:jc w:val="both"/>
      </w:pPr>
      <w:r>
        <w:rPr>
          <w:rFonts w:ascii="Georgia" w:cs="Georgia" w:eastAsia="Georgia" w:hAnsi="Georgia"/>
          <w:b w:val="false"/>
          <w:bCs w:val="false"/>
          <w:i w:val="false"/>
          <w:iCs w:val="false"/>
          <w:color w:val="1A1A1A"/>
          <w:sz w:val="23"/>
          <w:szCs w:val="23"/>
        </w:rPr>
        <w:t xml:space="preserve">The gap analysis points to three specific institutional documents that need to be created. These are not optional enhancements — they address foundational governance requirements that the current document stack does not cover.</w:t>
      </w:r>
    </w:p>
    <w:p>
      <w:pPr>
        <w:spacing w:before="0" w:after="80"/>
      </w:pPr>
    </w:p>
    <w:p>
      <w:pPr>
        <w:pStyle w:val="Heading2"/>
        <w:spacing w:before="320" w:after="100"/>
      </w:pPr>
      <w:r>
        <w:rPr>
          <w:rFonts w:ascii="Georgia" w:cs="Georgia" w:eastAsia="Georgia" w:hAnsi="Georgia"/>
          <w:b/>
          <w:bCs/>
          <w:color w:val="2E75B6"/>
          <w:sz w:val="25"/>
          <w:szCs w:val="25"/>
        </w:rPr>
        <w:t xml:space="preserve">Priority 1:  Strategy Formation Protocol</w:t>
      </w:r>
    </w:p>
    <w:p>
      <w:pPr>
        <w:spacing w:before="0" w:after="185"/>
        <w:ind/>
        <w:jc w:val="both"/>
      </w:pPr>
      <w:r>
        <w:rPr>
          <w:rFonts w:ascii="Georgia" w:cs="Georgia" w:eastAsia="Georgia" w:hAnsi="Georgia"/>
          <w:b w:val="false"/>
          <w:bCs w:val="false"/>
          <w:i w:val="false"/>
          <w:iCs w:val="false"/>
          <w:color w:val="1A1A1A"/>
          <w:sz w:val="23"/>
          <w:szCs w:val="23"/>
        </w:rPr>
        <w:t xml:space="preserve">This is the most significant gap. The OUG has a strategy and governance structures for implementing it. It does not have a process for creating strategy with the people who will carry it. Person 2's detailed account of the participatory strategy cycle — permission, harvesting, consolidation, iterative validation, reduction to measurable goals — describes exactly what is missing.</w:t>
      </w:r>
    </w:p>
    <w:p>
      <w:pPr>
        <w:spacing w:before="0" w:after="185"/>
        <w:ind/>
        <w:jc w:val="both"/>
      </w:pPr>
      <w:r>
        <w:rPr>
          <w:rFonts w:ascii="Georgia" w:cs="Georgia" w:eastAsia="Georgia" w:hAnsi="Georgia"/>
          <w:b w:val="false"/>
          <w:bCs w:val="false"/>
          <w:i w:val="false"/>
          <w:iCs w:val="false"/>
          <w:color w:val="1A1A1A"/>
          <w:sz w:val="23"/>
          <w:szCs w:val="23"/>
        </w:rPr>
        <w:t xml:space="preserve">The Strategy Formation Protocol should specify: how and when strategy cycles are initiated; which groups are engaged and in what sequence; the in-person harvesting process and its facilitation; how inputs are consolidated into draft principles; how those drafts are returned to contributors for iterative validation; the feasibility discipline applied to goal reduction; and the timeline, accepting that genuine participation takes up to two years.</w:t>
      </w:r>
    </w:p>
    <w:p>
      <w:pPr>
        <w:spacing w:before="0" w:after="185"/>
        <w:ind/>
        <w:jc w:val="both"/>
      </w:pPr>
      <w:r>
        <w:rPr>
          <w:rFonts w:ascii="Georgia" w:cs="Georgia" w:eastAsia="Georgia" w:hAnsi="Georgia"/>
          <w:b w:val="false"/>
          <w:bCs w:val="false"/>
          <w:i w:val="false"/>
          <w:iCs w:val="false"/>
          <w:color w:val="1A1A1A"/>
          <w:sz w:val="23"/>
          <w:szCs w:val="23"/>
        </w:rPr>
        <w:t xml:space="preserve">This document connects directly to the Strategic Constitution (which governs the strategy) and the Governance Architecture (which governs how decisions are made). It fills the process gap between them.</w:t>
      </w:r>
    </w:p>
    <w:p>
      <w:pPr>
        <w:spacing w:before="0" w:after="80"/>
      </w:pPr>
    </w:p>
    <w:p>
      <w:pPr>
        <w:pStyle w:val="Heading2"/>
        <w:spacing w:before="320" w:after="100"/>
      </w:pPr>
      <w:r>
        <w:rPr>
          <w:rFonts w:ascii="Georgia" w:cs="Georgia" w:eastAsia="Georgia" w:hAnsi="Georgia"/>
          <w:b/>
          <w:bCs/>
          <w:color w:val="2E75B6"/>
          <w:sz w:val="25"/>
          <w:szCs w:val="25"/>
        </w:rPr>
        <w:t xml:space="preserve">Priority 2:  OKR Framework and Governance Dashboard</w:t>
      </w:r>
    </w:p>
    <w:p>
      <w:pPr>
        <w:spacing w:before="0" w:after="185"/>
        <w:ind/>
        <w:jc w:val="both"/>
      </w:pPr>
      <w:r>
        <w:rPr>
          <w:rFonts w:ascii="Georgia" w:cs="Georgia" w:eastAsia="Georgia" w:hAnsi="Georgia"/>
          <w:b w:val="false"/>
          <w:bCs w:val="false"/>
          <w:i w:val="false"/>
          <w:iCs w:val="false"/>
          <w:color w:val="1A1A1A"/>
          <w:sz w:val="23"/>
          <w:szCs w:val="23"/>
        </w:rPr>
        <w:t xml:space="preserve">The OUG currently monitors strategy through KPIs. Person 2's argument for the shift to OKRs is not merely methodological — it reflects a fundamental difference in institutional orientation. An institution governing for stability monitors; an institution governing for transformation sets directional objectives and measures progress toward them.</w:t>
      </w:r>
    </w:p>
    <w:p>
      <w:pPr>
        <w:spacing w:before="0" w:after="185"/>
        <w:ind/>
        <w:jc w:val="both"/>
      </w:pPr>
      <w:r>
        <w:rPr>
          <w:rFonts w:ascii="Georgia" w:cs="Georgia" w:eastAsia="Georgia" w:hAnsi="Georgia"/>
          <w:b w:val="false"/>
          <w:bCs w:val="false"/>
          <w:i w:val="false"/>
          <w:iCs w:val="false"/>
          <w:color w:val="1A1A1A"/>
          <w:sz w:val="23"/>
          <w:szCs w:val="23"/>
        </w:rPr>
        <w:t xml:space="preserve">The OKR Framework should specify: the cycle for setting institutional OKRs (linked to the strategy cycle); the process for cascading OKRs from G1/G2 level to G3 and G4 level; the dashboard architecture that aggregates implementation findings across governance layers; the procedure for identifying and routing 'bugs' — strategic misalignments detected during implementation; and the cultural norms around correction, making explicit that identifying a problem is a governance contribution, not a failure.</w:t>
      </w:r>
    </w:p>
    <w:p>
      <w:pPr>
        <w:spacing w:before="0" w:after="185"/>
        <w:ind/>
        <w:jc w:val="both"/>
      </w:pPr>
      <w:r>
        <w:rPr>
          <w:rFonts w:ascii="Georgia" w:cs="Georgia" w:eastAsia="Georgia" w:hAnsi="Georgia"/>
          <w:b w:val="false"/>
          <w:bCs w:val="false"/>
          <w:i w:val="false"/>
          <w:iCs w:val="false"/>
          <w:color w:val="1A1A1A"/>
          <w:sz w:val="23"/>
          <w:szCs w:val="23"/>
        </w:rPr>
        <w:t xml:space="preserve">This document connects to the Quality Assurance Framework (which governs academic quality) and the Portfolio Governance Framework (which governs change). It adds the forward-looking transformation layer that both currently lack.</w:t>
      </w:r>
    </w:p>
    <w:p>
      <w:pPr>
        <w:spacing w:before="0" w:after="80"/>
      </w:pPr>
    </w:p>
    <w:p>
      <w:pPr>
        <w:pStyle w:val="Heading2"/>
        <w:spacing w:before="320" w:after="100"/>
      </w:pPr>
      <w:r>
        <w:rPr>
          <w:rFonts w:ascii="Georgia" w:cs="Georgia" w:eastAsia="Georgia" w:hAnsi="Georgia"/>
          <w:b/>
          <w:bCs/>
          <w:color w:val="2E75B6"/>
          <w:sz w:val="25"/>
          <w:szCs w:val="25"/>
        </w:rPr>
        <w:t xml:space="preserve">Priority 3:  Leadership Development and Induction Framework</w:t>
      </w:r>
    </w:p>
    <w:p>
      <w:pPr>
        <w:spacing w:before="0" w:after="185"/>
        <w:ind/>
        <w:jc w:val="both"/>
      </w:pPr>
      <w:r>
        <w:rPr>
          <w:rFonts w:ascii="Georgia" w:cs="Georgia" w:eastAsia="Georgia" w:hAnsi="Georgia"/>
          <w:b w:val="false"/>
          <w:bCs w:val="false"/>
          <w:i w:val="false"/>
          <w:iCs w:val="false"/>
          <w:color w:val="1A1A1A"/>
          <w:sz w:val="23"/>
          <w:szCs w:val="23"/>
        </w:rPr>
        <w:t xml:space="preserve">Person 1 was explicit: leadership competencies are not automatic. The OUG's Leadership &amp; Stewardship Profiles define what leaders should be able to do. They do not describe how those capabilities are developed, how incoming leaders are prepared, or how performance against competency definitions is assessed over time.</w:t>
      </w:r>
    </w:p>
    <w:p>
      <w:pPr>
        <w:spacing w:before="0" w:after="185"/>
        <w:ind/>
        <w:jc w:val="both"/>
      </w:pPr>
      <w:r>
        <w:rPr>
          <w:rFonts w:ascii="Georgia" w:cs="Georgia" w:eastAsia="Georgia" w:hAnsi="Georgia"/>
          <w:b w:val="false"/>
          <w:bCs w:val="false"/>
          <w:i w:val="false"/>
          <w:iCs w:val="false"/>
          <w:color w:val="1A1A1A"/>
          <w:sz w:val="23"/>
          <w:szCs w:val="23"/>
        </w:rPr>
        <w:t xml:space="preserve">The Leadership Development and Induction Framework should specify: the induction process for all governance roles; the ongoing development expectations for role holders; how competency assessment is conducted at annual review; the process and conditions for returning to a non-governance academic role; and explicit term limits for leadership positions, with the transition procedures that protect institutional continuity.</w:t>
      </w:r>
    </w:p>
    <w:p>
      <w:pPr>
        <w:spacing w:before="0" w:after="185"/>
        <w:ind/>
        <w:jc w:val="both"/>
      </w:pPr>
      <w:r>
        <w:rPr>
          <w:rFonts w:ascii="Georgia" w:cs="Georgia" w:eastAsia="Georgia" w:hAnsi="Georgia"/>
          <w:b w:val="false"/>
          <w:bCs w:val="false"/>
          <w:i w:val="false"/>
          <w:iCs w:val="false"/>
          <w:color w:val="1A1A1A"/>
          <w:sz w:val="23"/>
          <w:szCs w:val="23"/>
        </w:rPr>
        <w:t xml:space="preserve">This document connects to the Leadership &amp; Stewardship Profiles (which define the roles) and the Academic Community Charter (which establishes the collegial context within which leadership operates). It operationalises the principle that leadership is a learnable, bounded function rather than a status position.</w:t>
      </w:r>
    </w:p>
    <w:p>
      <w:pPr>
        <w:spacing w:before="0" w:after="200"/>
      </w:pPr>
    </w:p>
    <w:p>
      <w:pPr>
        <w:pBdr>
          <w:bottom w:val="single" w:color="2E75B6" w:sz="4" w:space="1"/>
        </w:pBd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OUG has built its load-bearing structure well. The governance architecture is coherent, the checks and balances are real, and the social mission is institutionally genuine. What it has not yet built is the operational layer through which that structure comes alive: the process for building strategy with its community, the system for learning from implementation, and the culture for developing and cycling through leadership. These are the next documents to write.</w:t>
            </w:r>
          </w:p>
        </w:tc>
      </w:tr>
    </w:tbl>
    <w:p>
      <w:pPr>
        <w:spacing w:before="0" w:after="200"/>
      </w:pPr>
    </w:p>
    <w:p>
      <w:pPr>
        <w:pBdr>
          <w:bottom w:val="single" w:color="CCCCCC" w:sz="2" w:space="1"/>
        </w:pBdr>
        <w:spacing w:before="180" w:after="180"/>
      </w:pPr>
    </w:p>
    <w:p>
      <w:pPr>
        <w:spacing w:before="160" w:after="0"/>
        <w:jc w:val="right"/>
      </w:pPr>
      <w:r>
        <w:rPr>
          <w:rFonts w:ascii="Arial" w:cs="Arial" w:eastAsia="Arial" w:hAnsi="Arial"/>
          <w:i/>
          <w:iCs/>
          <w:color w:val="BBBBBB"/>
          <w:sz w:val="17"/>
          <w:szCs w:val="17"/>
        </w:rPr>
        <w:t xml:space="preserve">Open University of Germany  ·  Governance Assessment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2026-03-19T18:59:43.556Z</dcterms:created>
  <dcterms:modified xsi:type="dcterms:W3CDTF">2026-03-19T18:59:43.557Z</dcterms:modified>
</cp:coreProperties>
</file>

<file path=docProps/custom.xml><?xml version="1.0" encoding="utf-8"?>
<Properties xmlns="http://schemas.openxmlformats.org/officeDocument/2006/custom-properties" xmlns:vt="http://schemas.openxmlformats.org/officeDocument/2006/docPropsVTypes"/>
</file>