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pPr>
      <w:r>
        <w:rPr>
          <w:rFonts w:ascii="Arial" w:cs="Arial" w:eastAsia="Arial" w:hAnsi="Arial"/>
          <w:b/>
          <w:bCs/>
          <w:caps/>
          <w:color w:val="2E75B6"/>
          <w:sz w:val="17"/>
          <w:szCs w:val="17"/>
        </w:rPr>
        <w:t xml:space="preserve">OPEN UNIVERSITY OF GERMANY  ·  GOVERNANCE INSTRUMENT</w:t>
      </w:r>
    </w:p>
    <w:p>
      <w:pPr>
        <w:spacing w:after="50" w:before="0"/>
      </w:pPr>
      <w:r>
        <w:rPr>
          <w:rFonts w:ascii="Arial" w:cs="Arial" w:eastAsia="Arial" w:hAnsi="Arial"/>
          <w:color w:val="AAAAAA"/>
          <w:sz w:val="17"/>
          <w:szCs w:val="17"/>
        </w:rPr>
        <w:t xml:space="preserve">Incentive Conversion Statement  ·  GP-6 Gap Closure  ·  2026</w:t>
      </w:r>
    </w:p>
    <w:p>
      <w:pPr>
        <w:pBdr>
          <w:bottom w:val="single" w:color="2E75B6" w:sz="8" w:space="1"/>
        </w:pBdr>
        <w:spacing w:after="240" w:before="0"/>
      </w:pPr>
    </w:p>
    <w:p>
      <w:pPr>
        <w:spacing w:after="40" w:before="0"/>
      </w:pPr>
      <w:r>
        <w:rPr>
          <w:rFonts w:ascii="Georgia" w:cs="Georgia" w:eastAsia="Georgia" w:hAnsi="Georgia"/>
          <w:b/>
          <w:bCs/>
          <w:color w:val="0D1F3C"/>
          <w:sz w:val="40"/>
          <w:szCs w:val="40"/>
        </w:rPr>
        <w:t xml:space="preserve">The Incentive Conversion Statement</w:t>
      </w:r>
    </w:p>
    <w:p>
      <w:pPr>
        <w:spacing w:after="280" w:before="0"/>
      </w:pPr>
      <w:r>
        <w:rPr>
          <w:rFonts w:ascii="Georgia" w:cs="Georgia" w:eastAsia="Georgia" w:hAnsi="Georgia"/>
          <w:i/>
          <w:iCs/>
          <w:color w:val="1F3864"/>
          <w:sz w:val="22"/>
          <w:szCs w:val="22"/>
        </w:rPr>
        <w:t xml:space="preserve">A governance instrument for converting exogenous incentives into institutional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190"/>
              <w:left w:type="dxa" w:w="280"/>
              <w:bottom w:type="dxa" w:w="190"/>
              <w:right w:type="dxa" w:w="280"/>
            </w:tcMar>
          </w:tcPr>
          <w:p>
            <w:pPr>
              <w:spacing w:after="70" w:before="0"/>
            </w:pPr>
            <w:r>
              <w:rPr>
                <w:rFonts w:ascii="Arial" w:cs="Arial" w:eastAsia="Arial" w:hAnsi="Arial"/>
                <w:b/>
                <w:bCs/>
                <w:color w:val="1F3864"/>
                <w:sz w:val="17"/>
                <w:szCs w:val="17"/>
              </w:rPr>
              <w:t xml:space="preserve">What this instrument is for</w:t>
            </w:r>
          </w:p>
          <w:p>
            <w:pPr>
              <w:spacing w:after="90" w:before="0"/>
              <w:jc w:val="both"/>
            </w:pPr>
            <w:r>
              <w:rPr>
                <w:rFonts w:ascii="Georgia" w:cs="Georgia" w:eastAsia="Georgia" w:hAnsi="Georgia"/>
                <w:color w:val="1A1A1A"/>
                <w:sz w:val="22"/>
                <w:szCs w:val="22"/>
              </w:rPr>
              <w:t xml:space="preserve">External incentives — funding programmes, policy mandates, competitive mechanisms — can produce genuine institutional transformation or cosmetic reorganisation. The difference depends almost entirely on whether leadership converts the external incentive into a shared internal vision before structural changes are designed.</w:t>
            </w:r>
          </w:p>
          <w:p>
            <w:pPr>
              <w:spacing w:after="0" w:before="0"/>
              <w:jc w:val="both"/>
            </w:pPr>
            <w:r>
              <w:rPr>
                <w:rFonts w:ascii="Georgia" w:cs="Georgia" w:eastAsia="Georgia" w:hAnsi="Georgia"/>
                <w:i/>
                <w:iCs/>
                <w:color w:val="4A5568"/>
                <w:sz w:val="22"/>
                <w:szCs w:val="22"/>
              </w:rPr>
              <w:t xml:space="preserve">The Incentive Conversion Statement is produced by the Rector before any significant structural response to an external incentive is approved by the Hochschulrat. It answers three questions. It is retained in the institutional record. When the incentive ends, a Conversion Outcome Note is added.</w:t>
            </w:r>
          </w:p>
        </w:tc>
      </w:tr>
    </w:tbl>
    <w:p>
      <w:pPr>
        <w:spacing w:after="2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0D1F3C" w:val="clear"/>
            <w:tcMar>
              <w:top w:type="dxa" w:w="90"/>
              <w:left w:type="dxa" w:w="200"/>
              <w:bottom w:type="dxa" w:w="90"/>
              <w:right w:type="dxa" w:w="160"/>
            </w:tcMar>
          </w:tcPr>
          <w:p>
            <w:pPr>
              <w:spacing w:after="12" w:before="0"/>
            </w:pPr>
            <w:r>
              <w:rPr>
                <w:rFonts w:ascii="Arial" w:cs="Arial" w:eastAsia="Arial" w:hAnsi="Arial"/>
                <w:color w:val="8899BB"/>
                <w:sz w:val="14"/>
                <w:szCs w:val="14"/>
              </w:rPr>
              <w:t xml:space="preserve">Before any structural response to a significant external incentive is approved</w:t>
            </w:r>
          </w:p>
          <w:p>
            <w:pPr>
              <w:spacing w:after="0" w:before="0"/>
            </w:pPr>
            <w:r>
              <w:rPr>
                <w:rFonts w:ascii="Georgia" w:cs="Georgia" w:eastAsia="Georgia" w:hAnsi="Georgia"/>
                <w:b/>
                <w:bCs/>
                <w:color w:val="FFFFFF"/>
                <w:sz w:val="24"/>
                <w:szCs w:val="24"/>
              </w:rPr>
              <w:t xml:space="preserve">When a Statement Is Required</w:t>
            </w:r>
          </w:p>
        </w:tc>
      </w:tr>
    </w:tbl>
    <w:p>
      <w:pPr>
        <w:spacing w:after="80" w:before="0"/>
      </w:pPr>
    </w:p>
    <w:p>
      <w:pPr>
        <w:spacing w:after="185" w:before="0"/>
        <w:jc w:val="both"/>
      </w:pPr>
      <w:r>
        <w:rPr>
          <w:rFonts w:ascii="Georgia" w:cs="Georgia" w:eastAsia="Georgia" w:hAnsi="Georgia"/>
          <w:b w:val="false"/>
          <w:bCs w:val="false"/>
          <w:i w:val="false"/>
          <w:iCs w:val="false"/>
          <w:color w:val="1A1A1A"/>
          <w:sz w:val="23"/>
          <w:szCs w:val="23"/>
        </w:rPr>
        <w:t xml:space="preserve">A Statement is required before the Hochschulrat approves any structural response — new unit, new role, new governance structure, new programme, significant budget reallocation — that is primarily motivated by an external incentive. Triggers include:</w:t>
      </w:r>
    </w:p>
    <w:p>
      <w:pPr>
        <w:spacing w:after="40" w:before="0"/>
      </w:pPr>
    </w:p>
    <w:p>
      <w:pPr>
        <w:pStyle w:val="ListParagraph"/>
        <w:numPr>
          <w:ilvl w:val="0"/>
          <w:numId w:val="2"/>
        </w:numPr>
        <w:spacing w:after="65" w:before="55"/>
      </w:pPr>
      <w:r>
        <w:rPr>
          <w:rFonts w:ascii="Georgia" w:cs="Georgia" w:eastAsia="Georgia" w:hAnsi="Georgia"/>
          <w:color w:val="1A1A1A"/>
          <w:sz w:val="23"/>
          <w:szCs w:val="23"/>
        </w:rPr>
        <w:t xml:space="preserve">A BMBF or DFG funding programme that requires structural or programme changes as conditions of eligibility or continued funding.</w:t>
      </w:r>
    </w:p>
    <w:p>
      <w:pPr>
        <w:pStyle w:val="ListParagraph"/>
        <w:numPr>
          <w:ilvl w:val="0"/>
          <w:numId w:val="2"/>
        </w:numPr>
        <w:spacing w:after="65" w:before="55"/>
      </w:pPr>
      <w:r>
        <w:rPr>
          <w:rFonts w:ascii="Georgia" w:cs="Georgia" w:eastAsia="Georgia" w:hAnsi="Georgia"/>
          <w:color w:val="1A1A1A"/>
          <w:sz w:val="23"/>
          <w:szCs w:val="23"/>
        </w:rPr>
        <w:t xml:space="preserve">An EU framework programme or innovation call where the OUG wishes to position itself as a model institution.</w:t>
      </w:r>
    </w:p>
    <w:p>
      <w:pPr>
        <w:pStyle w:val="ListParagraph"/>
        <w:numPr>
          <w:ilvl w:val="0"/>
          <w:numId w:val="2"/>
        </w:numPr>
        <w:spacing w:after="65" w:before="55"/>
      </w:pPr>
      <w:r>
        <w:rPr>
          <w:rFonts w:ascii="Georgia" w:cs="Georgia" w:eastAsia="Georgia" w:hAnsi="Georgia"/>
          <w:color w:val="1A1A1A"/>
          <w:sz w:val="23"/>
          <w:szCs w:val="23"/>
        </w:rPr>
        <w:t xml:space="preserve">A policy mandate from MWK BW or the Akkreditierungsrat that requires changes to governance, curriculum, or quality architecture.</w:t>
      </w:r>
    </w:p>
    <w:p>
      <w:pPr>
        <w:pStyle w:val="ListParagraph"/>
        <w:numPr>
          <w:ilvl w:val="0"/>
          <w:numId w:val="2"/>
        </w:numPr>
        <w:spacing w:after="65" w:before="55"/>
      </w:pPr>
      <w:r>
        <w:rPr>
          <w:rFonts w:ascii="Georgia" w:cs="Georgia" w:eastAsia="Georgia" w:hAnsi="Georgia"/>
          <w:color w:val="1A1A1A"/>
          <w:sz w:val="23"/>
          <w:szCs w:val="23"/>
        </w:rPr>
        <w:t xml:space="preserve">A competitive mechanism — ranking, award, recognition programme — where participation requires structural commitments.</w:t>
      </w:r>
    </w:p>
    <w:p>
      <w:pPr>
        <w:pStyle w:val="ListParagraph"/>
        <w:numPr>
          <w:ilvl w:val="0"/>
          <w:numId w:val="2"/>
        </w:numPr>
        <w:spacing w:after="65" w:before="55"/>
      </w:pPr>
      <w:r>
        <w:rPr>
          <w:rFonts w:ascii="Georgia" w:cs="Georgia" w:eastAsia="Georgia" w:hAnsi="Georgia"/>
          <w:color w:val="1A1A1A"/>
          <w:sz w:val="23"/>
          <w:szCs w:val="23"/>
        </w:rPr>
        <w:t xml:space="preserve">A significant partnership opportunity where the partner's requirements would shape the OUG's internal organisation.</w:t>
      </w:r>
    </w:p>
    <w:p>
      <w:pPr>
        <w:spacing w:after="60" w:before="0"/>
      </w:pPr>
    </w:p>
    <w:p>
      <w:pPr>
        <w:spacing w:after="185" w:before="0"/>
        <w:jc w:val="both"/>
      </w:pPr>
      <w:r>
        <w:rPr>
          <w:rFonts w:ascii="Georgia" w:cs="Georgia" w:eastAsia="Georgia" w:hAnsi="Georgia"/>
          <w:b w:val="false"/>
          <w:bCs w:val="false"/>
          <w:i/>
          <w:iCs/>
          <w:color w:val="4A5568"/>
          <w:sz w:val="23"/>
          <w:szCs w:val="23"/>
        </w:rPr>
        <w:t xml:space="preserve">A Statement is not required for operational responses — accepting a speaker invitation, submitting a research application, joining a consortium as a non-structural participant.</w:t>
      </w:r>
    </w:p>
    <w:p>
      <w:pPr>
        <w:spacing w:after="200" w:before="0"/>
      </w:pPr>
    </w:p>
    <w:p>
      <w:pPr>
        <w:pBdr>
          <w:bottom w:val="single" w:color="CCCCCC" w:sz="2" w:space="1"/>
        </w:pBdr>
        <w:spacing w:after="200" w:before="200"/>
      </w:pPr>
    </w:p>
    <w:p>
      <w:pPr>
        <w:pStyle w:val="Heading1"/>
        <w:spacing w:after="140" w:before="480"/>
      </w:pPr>
      <w:r>
        <w:rPr>
          <w:rFonts w:ascii="Georgia" w:cs="Georgia" w:eastAsia="Georgia" w:hAnsi="Georgia"/>
          <w:b/>
          <w:bCs/>
          <w:color w:val="1F3864"/>
          <w:sz w:val="30"/>
          <w:szCs w:val="30"/>
        </w:rPr>
        <w:t xml:space="preserve">The Three Questions</w:t>
      </w:r>
    </w:p>
    <w:p>
      <w:pPr>
        <w:spacing w:after="80" w:before="0"/>
        <w:jc w:val="both"/>
      </w:pPr>
      <w:r>
        <w:rPr>
          <w:rFonts w:ascii="Georgia" w:cs="Georgia" w:eastAsia="Georgia" w:hAnsi="Georgia"/>
          <w:b w:val="false"/>
          <w:bCs w:val="false"/>
          <w:i w:val="false"/>
          <w:iCs w:val="false"/>
          <w:color w:val="1A1A1A"/>
          <w:sz w:val="23"/>
          <w:szCs w:val="23"/>
        </w:rPr>
        <w:t xml:space="preserve">The Statement answers exactly three questions. Each answer is one to three paragraphs — specific enough to be held accountable to, honest enough to be useful when the programme 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F3864" w:val="clear"/>
            <w:tcMar>
              <w:top w:type="dxa" w:w="80"/>
              <w:left w:type="dxa" w:w="200"/>
              <w:bottom w:type="dxa" w:w="80"/>
              <w:right w:type="dxa" w:w="160"/>
            </w:tcMar>
          </w:tcPr>
          <w:p>
            <w:pPr>
              <w:spacing w:after="15" w:before="0"/>
            </w:pPr>
            <w:r>
              <w:rPr>
                <w:rFonts w:ascii="Arial" w:cs="Arial" w:eastAsia="Arial" w:hAnsi="Arial"/>
                <w:b/>
                <w:bCs/>
                <w:color w:val="AACCEE"/>
                <w:sz w:val="15"/>
                <w:szCs w:val="15"/>
              </w:rPr>
              <w:t xml:space="preserve">Question 1</w:t>
            </w:r>
          </w:p>
          <w:p>
            <w:pPr>
              <w:spacing w:after="0" w:before="0"/>
            </w:pPr>
            <w:r>
              <w:rPr>
                <w:rFonts w:ascii="Georgia" w:cs="Georgia" w:eastAsia="Georgia" w:hAnsi="Georgia"/>
                <w:b/>
                <w:bCs/>
                <w:color w:val="FFFFFF"/>
                <w:sz w:val="23"/>
                <w:szCs w:val="23"/>
              </w:rPr>
              <w:t xml:space="preserve">Why does this incentive matter for the OUG's educational purpose?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EEF4FB" w:val="clear"/>
            <w:tcMar>
              <w:top w:type="dxa" w:w="100"/>
              <w:left w:type="dxa" w:w="200"/>
              <w:bottom w:type="dxa" w:w="100"/>
              <w:right w:type="dxa" w:w="160"/>
            </w:tcMar>
          </w:tcPr>
          <w:p>
            <w:pPr>
              <w:spacing w:after="70" w:before="0"/>
              <w:jc w:val="both"/>
            </w:pPr>
            <w:r>
              <w:rPr>
                <w:rFonts w:ascii="Georgia" w:cs="Georgia" w:eastAsia="Georgia" w:hAnsi="Georgia"/>
                <w:b w:val="false"/>
                <w:bCs w:val="false"/>
                <w:i w:val="false"/>
                <w:iCs w:val="false"/>
                <w:color w:val="1A1A1A"/>
                <w:sz w:val="23"/>
                <w:szCs w:val="23"/>
              </w:rPr>
              <w:t xml:space="preserve">Not: why does this matter for the budget or external standing. This question asks: what does this incentive make possible for the learners the OUG was built to serve? If the connection to learner outcomes requires more than two sentences to explain, the connection may not be as direct as it should be.</w:t>
            </w:r>
          </w:p>
          <w:p>
            <w:pPr>
              <w:spacing w:after="185" w:before="0"/>
              <w:jc w:val="both"/>
            </w:pPr>
            <w:r>
              <w:rPr>
                <w:rFonts w:ascii="Georgia" w:cs="Georgia" w:eastAsia="Georgia" w:hAnsi="Georgia"/>
                <w:b w:val="false"/>
                <w:bCs w:val="false"/>
                <w:i/>
                <w:iCs/>
                <w:color w:val="4A5568"/>
                <w:sz w:val="23"/>
                <w:szCs w:val="23"/>
              </w:rPr>
              <w:t xml:space="preserve">Examples that satisfy the question: 'This programme will fund the prior learning recognition pathway that currently bottlenecks access for the immigrant professional population.' 'This mandate requires us to implement a modular credential architecture we have been planning since founding.' Examples that do not: 'This programme will raise our profile.' 'This funding allows us to hire additional staff.'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A5C4A" w:val="clear"/>
            <w:tcMar>
              <w:top w:type="dxa" w:w="80"/>
              <w:left w:type="dxa" w:w="200"/>
              <w:bottom w:type="dxa" w:w="80"/>
              <w:right w:type="dxa" w:w="160"/>
            </w:tcMar>
          </w:tcPr>
          <w:p>
            <w:pPr>
              <w:spacing w:after="15" w:before="0"/>
            </w:pPr>
            <w:r>
              <w:rPr>
                <w:rFonts w:ascii="Arial" w:cs="Arial" w:eastAsia="Arial" w:hAnsi="Arial"/>
                <w:b/>
                <w:bCs/>
                <w:color w:val="AACCEE"/>
                <w:sz w:val="15"/>
                <w:szCs w:val="15"/>
              </w:rPr>
              <w:t xml:space="preserve">Question 2</w:t>
            </w:r>
          </w:p>
          <w:p>
            <w:pPr>
              <w:spacing w:after="0" w:before="0"/>
            </w:pPr>
            <w:r>
              <w:rPr>
                <w:rFonts w:ascii="Georgia" w:cs="Georgia" w:eastAsia="Georgia" w:hAnsi="Georgia"/>
                <w:b/>
                <w:bCs/>
                <w:color w:val="FFFFFF"/>
                <w:sz w:val="23"/>
                <w:szCs w:val="23"/>
              </w:rPr>
              <w:t xml:space="preserve">What will be genuinely different when this is done?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EAF5EE" w:val="clear"/>
            <w:tcMar>
              <w:top w:type="dxa" w:w="100"/>
              <w:left w:type="dxa" w:w="200"/>
              <w:bottom w:type="dxa" w:w="100"/>
              <w:right w:type="dxa" w:w="160"/>
            </w:tcMar>
          </w:tcPr>
          <w:p>
            <w:pPr>
              <w:spacing w:after="70" w:before="0"/>
              <w:jc w:val="both"/>
            </w:pPr>
            <w:r>
              <w:rPr>
                <w:rFonts w:ascii="Georgia" w:cs="Georgia" w:eastAsia="Georgia" w:hAnsi="Georgia"/>
                <w:b w:val="false"/>
                <w:bCs w:val="false"/>
                <w:i w:val="false"/>
                <w:iCs w:val="false"/>
                <w:color w:val="1A1A1A"/>
                <w:sz w:val="23"/>
                <w:szCs w:val="23"/>
              </w:rPr>
              <w:t xml:space="preserve">Not: what new committees will exist or what new org chart boxes will appear. This question asks: what will learners be able to do, access, or experience that they cannot do now? What governance capability will exist that currently does not?</w:t>
            </w:r>
          </w:p>
          <w:p>
            <w:pPr>
              <w:spacing w:after="185" w:before="0"/>
              <w:jc w:val="both"/>
            </w:pPr>
            <w:r>
              <w:rPr>
                <w:rFonts w:ascii="Georgia" w:cs="Georgia" w:eastAsia="Georgia" w:hAnsi="Georgia"/>
                <w:b w:val="false"/>
                <w:bCs w:val="false"/>
                <w:i/>
                <w:iCs/>
                <w:color w:val="4A5568"/>
                <w:sz w:val="23"/>
                <w:szCs w:val="23"/>
              </w:rPr>
              <w:t xml:space="preserve">If the honest answer is 'the same things we do now, with a new unit doing them', the incentive is producing reorganisation rather than transformation. Reorganisation is not inherently wrong — but it should be named as such, not presented as development.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2E75B6" w:val="clear"/>
            <w:tcMar>
              <w:top w:type="dxa" w:w="80"/>
              <w:left w:type="dxa" w:w="200"/>
              <w:bottom w:type="dxa" w:w="80"/>
              <w:right w:type="dxa" w:w="160"/>
            </w:tcMar>
          </w:tcPr>
          <w:p>
            <w:pPr>
              <w:spacing w:after="15" w:before="0"/>
            </w:pPr>
            <w:r>
              <w:rPr>
                <w:rFonts w:ascii="Arial" w:cs="Arial" w:eastAsia="Arial" w:hAnsi="Arial"/>
                <w:b/>
                <w:bCs/>
                <w:color w:val="AACCEE"/>
                <w:sz w:val="15"/>
                <w:szCs w:val="15"/>
              </w:rPr>
              <w:t xml:space="preserve">Question 3</w:t>
            </w:r>
          </w:p>
          <w:p>
            <w:pPr>
              <w:spacing w:after="0" w:before="0"/>
            </w:pPr>
            <w:r>
              <w:rPr>
                <w:rFonts w:ascii="Georgia" w:cs="Georgia" w:eastAsia="Georgia" w:hAnsi="Georgia"/>
                <w:b/>
                <w:bCs/>
                <w:color w:val="FFFFFF"/>
                <w:sz w:val="23"/>
                <w:szCs w:val="23"/>
              </w:rPr>
              <w:t xml:space="preserve">How will the OUG know whether the change has occurred?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100"/>
              <w:left w:type="dxa" w:w="200"/>
              <w:bottom w:type="dxa" w:w="100"/>
              <w:right w:type="dxa" w:w="160"/>
            </w:tcMar>
          </w:tcPr>
          <w:p>
            <w:pPr>
              <w:spacing w:after="70" w:before="0"/>
              <w:jc w:val="both"/>
            </w:pPr>
            <w:r>
              <w:rPr>
                <w:rFonts w:ascii="Georgia" w:cs="Georgia" w:eastAsia="Georgia" w:hAnsi="Georgia"/>
                <w:b w:val="false"/>
                <w:bCs w:val="false"/>
                <w:i w:val="false"/>
                <w:iCs w:val="false"/>
                <w:color w:val="1A1A1A"/>
                <w:sz w:val="23"/>
                <w:szCs w:val="23"/>
              </w:rPr>
              <w:t xml:space="preserve">This question requires a specific, observable indicator — not 'we will reflect on the experience'. The indicator must be measurable before the programme ends, so that the Conversion Outcome Note can give a definitive account rather than an impression.</w:t>
            </w:r>
          </w:p>
          <w:p>
            <w:pPr>
              <w:spacing w:after="185" w:before="0"/>
              <w:jc w:val="both"/>
            </w:pPr>
            <w:r>
              <w:rPr>
                <w:rFonts w:ascii="Georgia" w:cs="Georgia" w:eastAsia="Georgia" w:hAnsi="Georgia"/>
                <w:b w:val="false"/>
                <w:bCs w:val="false"/>
                <w:i/>
                <w:iCs/>
                <w:color w:val="4A5568"/>
                <w:sz w:val="23"/>
                <w:szCs w:val="23"/>
              </w:rPr>
              <w:t xml:space="preserve">Good indicators: 'Prior learning recognition processing time will fall from 60 days to 20 days, measurable from admissions records.' 'At least 80 learners from the immigrant professional population will have enrolled via the recognition pathway within 18 months.' An indicator that cannot be verified from institutional data is not an indicator — it is an aspiration.</w:t>
            </w:r>
          </w:p>
        </w:tc>
      </w:tr>
    </w:tbl>
    <w:p>
      <w:pPr>
        <w:spacing w:after="200" w:before="0"/>
      </w:pPr>
    </w:p>
    <w:p>
      <w:pPr>
        <w:pBdr>
          <w:bottom w:val="single" w:color="CCCCCC" w:sz="2" w:space="1"/>
        </w:pBdr>
        <w:spacing w:after="200" w:before="200"/>
      </w:pPr>
    </w:p>
    <w:p>
      <w:pPr>
        <w:pStyle w:val="Heading1"/>
        <w:spacing w:after="140" w:before="480"/>
      </w:pPr>
      <w:r>
        <w:rPr>
          <w:rFonts w:ascii="Georgia" w:cs="Georgia" w:eastAsia="Georgia" w:hAnsi="Georgia"/>
          <w:b/>
          <w:bCs/>
          <w:color w:val="1F3864"/>
          <w:sz w:val="30"/>
          <w:szCs w:val="30"/>
        </w:rPr>
        <w:t xml:space="preserve">The Conversion Outcome Note</w:t>
      </w:r>
    </w:p>
    <w:p>
      <w:pPr>
        <w:spacing w:after="185" w:before="0"/>
        <w:jc w:val="both"/>
      </w:pPr>
      <w:r>
        <w:rPr>
          <w:rFonts w:ascii="Georgia" w:cs="Georgia" w:eastAsia="Georgia" w:hAnsi="Georgia"/>
          <w:b w:val="false"/>
          <w:bCs w:val="false"/>
          <w:i w:val="false"/>
          <w:iCs w:val="false"/>
          <w:color w:val="1A1A1A"/>
          <w:sz w:val="23"/>
          <w:szCs w:val="23"/>
        </w:rPr>
        <w:t xml:space="preserve">When the incentive programme ends — or at the two-year mark for open-ended mandates — the Rector adds a Conversion Outcome Note to the original Statement. The Note answers three questions in parallel:</w:t>
      </w:r>
    </w:p>
    <w:p>
      <w:pPr>
        <w:spacing w:after="40" w:before="0"/>
      </w:pPr>
    </w:p>
    <w:p>
      <w:pPr>
        <w:pStyle w:val="ListParagraph"/>
        <w:numPr>
          <w:ilvl w:val="0"/>
          <w:numId w:val="2"/>
        </w:numPr>
        <w:spacing w:after="65" w:before="55"/>
      </w:pPr>
      <w:r>
        <w:rPr>
          <w:rFonts w:ascii="Georgia" w:cs="Georgia" w:eastAsia="Georgia" w:hAnsi="Georgia"/>
          <w:color w:val="1A1A1A"/>
          <w:sz w:val="23"/>
          <w:szCs w:val="23"/>
        </w:rPr>
        <w:t xml:space="preserve">Did the incentive produce what Question 1 said it would produce for learners? If not, why not?</w:t>
      </w:r>
    </w:p>
    <w:p>
      <w:pPr>
        <w:pStyle w:val="ListParagraph"/>
        <w:numPr>
          <w:ilvl w:val="0"/>
          <w:numId w:val="2"/>
        </w:numPr>
        <w:spacing w:after="65" w:before="55"/>
      </w:pPr>
      <w:r>
        <w:rPr>
          <w:rFonts w:ascii="Georgia" w:cs="Georgia" w:eastAsia="Georgia" w:hAnsi="Georgia"/>
          <w:color w:val="1A1A1A"/>
          <w:sz w:val="23"/>
          <w:szCs w:val="23"/>
        </w:rPr>
        <w:t xml:space="preserve">Is the institution genuinely different in the way Question 2 described? If not, what changed instead?</w:t>
      </w:r>
    </w:p>
    <w:p>
      <w:pPr>
        <w:pStyle w:val="ListParagraph"/>
        <w:numPr>
          <w:ilvl w:val="0"/>
          <w:numId w:val="2"/>
        </w:numPr>
        <w:spacing w:after="65" w:before="55"/>
      </w:pPr>
      <w:r>
        <w:rPr>
          <w:rFonts w:ascii="Georgia" w:cs="Georgia" w:eastAsia="Georgia" w:hAnsi="Georgia"/>
          <w:color w:val="1A1A1A"/>
          <w:sz w:val="23"/>
          <w:szCs w:val="23"/>
        </w:rPr>
        <w:t xml:space="preserve">Did the indicator specified in Question 3 reach its target? What does the result mean for how the institution uses similar incentives in future?</w:t>
      </w:r>
    </w:p>
    <w:p>
      <w:pPr>
        <w:spacing w:after="60" w:before="0"/>
      </w:pPr>
    </w:p>
    <w:p>
      <w:pPr>
        <w:spacing w:after="185" w:before="0"/>
        <w:jc w:val="both"/>
      </w:pPr>
      <w:r>
        <w:rPr>
          <w:rFonts w:ascii="Georgia" w:cs="Georgia" w:eastAsia="Georgia" w:hAnsi="Georgia"/>
          <w:b w:val="false"/>
          <w:bCs w:val="false"/>
          <w:i/>
          <w:iCs/>
          <w:color w:val="4A5568"/>
          <w:sz w:val="23"/>
          <w:szCs w:val="23"/>
        </w:rPr>
        <w:t xml:space="preserve">The Note is one page. It is retained with the original Statement in the institutional governance record. It is reviewed by the Hochschulrat at the annual strategic session in the year it is produced. It is an institutional learning document, not a performance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1A5C4A"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The institution that cannot distinguish between 'we changed' and 'we reorganised' will reorganise indefinitely without changing. The Incentive Conversion Statement forces that distinction to be made before the structural response is approved, not after.</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F3864" w:val="clear"/>
            <w:tcMar>
              <w:top w:type="dxa" w:w="90"/>
              <w:left w:type="dxa" w:w="200"/>
              <w:bottom w:type="dxa" w:w="90"/>
              <w:right w:type="dxa" w:w="160"/>
            </w:tcMar>
          </w:tcPr>
          <w:p>
            <w:pPr>
              <w:spacing w:after="12" w:before="0"/>
            </w:pPr>
            <w:r>
              <w:rPr>
                <w:rFonts w:ascii="Arial" w:cs="Arial" w:eastAsia="Arial" w:hAnsi="Arial"/>
                <w:color w:val="8899BB"/>
                <w:sz w:val="14"/>
                <w:szCs w:val="14"/>
              </w:rPr>
              <w:t xml:space="preserve">How the Statement moves through the governance architecture</w:t>
            </w:r>
          </w:p>
          <w:p>
            <w:pPr>
              <w:spacing w:after="0" w:before="0"/>
            </w:pPr>
            <w:r>
              <w:rPr>
                <w:rFonts w:ascii="Georgia" w:cs="Georgia" w:eastAsia="Georgia" w:hAnsi="Georgia"/>
                <w:b/>
                <w:bCs/>
                <w:color w:val="FFFFFF"/>
                <w:sz w:val="24"/>
                <w:szCs w:val="24"/>
              </w:rPr>
              <w:t xml:space="preserve">Governance Process</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626"/>
      </w:tblGrid>
      <w:tr>
        <w:tc>
          <w:tcPr>
            <w:tcBorders>
              <w:top w:val="none"/>
              <w:left w:val="none"/>
              <w:bottom w:val="none"/>
              <w:right w:val="none"/>
            </w:tcBorders>
            <w:shd w:fill="0D1F3C" w:val="clear"/>
            <w:tcMar>
              <w:top w:type="dxa" w:w="65"/>
              <w:left w:type="dxa" w:w="100"/>
              <w:bottom w:type="dxa" w:w="65"/>
              <w:right w:type="dxa" w:w="80"/>
            </w:tcMar>
          </w:tcPr>
          <w:p>
            <w:r>
              <w:rPr>
                <w:rFonts w:ascii="Arial" w:cs="Arial" w:eastAsia="Arial" w:hAnsi="Arial"/>
                <w:b/>
                <w:bCs/>
                <w:color w:val="FFFFFF"/>
                <w:sz w:val="15"/>
                <w:szCs w:val="15"/>
              </w:rPr>
              <w:t xml:space="preserve">Step</w:t>
            </w:r>
          </w:p>
        </w:tc>
        <w:tc>
          <w:tcPr>
            <w:tcBorders>
              <w:top w:val="none"/>
              <w:left w:val="none"/>
              <w:bottom w:val="none"/>
              <w:right w:val="none"/>
            </w:tcBorders>
            <w:shd w:fill="0D1F3C" w:val="clear"/>
            <w:tcMar>
              <w:top w:type="dxa" w:w="65"/>
              <w:left w:type="dxa" w:w="100"/>
              <w:bottom w:type="dxa" w:w="65"/>
              <w:right w:type="dxa" w:w="80"/>
            </w:tcMar>
          </w:tcPr>
          <w:p>
            <w:r>
              <w:rPr>
                <w:rFonts w:ascii="Arial" w:cs="Arial" w:eastAsia="Arial" w:hAnsi="Arial"/>
                <w:b/>
                <w:bCs/>
                <w:color w:val="FFFFFF"/>
                <w:sz w:val="15"/>
                <w:szCs w:val="15"/>
              </w:rPr>
              <w:t xml:space="preserve">Who</w:t>
            </w:r>
          </w:p>
        </w:tc>
        <w:tc>
          <w:tcPr>
            <w:tcBorders>
              <w:top w:val="none"/>
              <w:left w:val="none"/>
              <w:bottom w:val="none"/>
              <w:right w:val="none"/>
            </w:tcBorders>
            <w:shd w:fill="0D1F3C" w:val="clear"/>
            <w:tcMar>
              <w:top w:type="dxa" w:w="65"/>
              <w:left w:type="dxa" w:w="100"/>
              <w:bottom w:type="dxa" w:w="65"/>
              <w:right w:type="dxa" w:w="80"/>
            </w:tcMar>
          </w:tcPr>
          <w:p>
            <w:r>
              <w:rPr>
                <w:rFonts w:ascii="Arial" w:cs="Arial" w:eastAsia="Arial" w:hAnsi="Arial"/>
                <w:b/>
                <w:bCs/>
                <w:color w:val="FFFFFF"/>
                <w:sz w:val="15"/>
                <w:szCs w:val="15"/>
              </w:rPr>
              <w:t xml:space="preserve">What</w:t>
            </w:r>
          </w:p>
        </w:tc>
      </w:tr>
      <w:tr>
        <w:tc>
          <w:tcPr>
            <w:tcBorders>
              <w:top w:val="none"/>
              <w:left w:val="none"/>
              <w:bottom w:val="none"/>
              <w:right w:val="none"/>
            </w:tcBorders>
            <w:shd w:fill="1F3864" w:val="clear"/>
            <w:tcMar>
              <w:top w:type="dxa" w:w="65"/>
              <w:left w:type="dxa" w:w="100"/>
              <w:bottom w:type="dxa" w:w="65"/>
              <w:right w:type="dxa" w:w="80"/>
            </w:tcMar>
          </w:tcPr>
          <w:p>
            <w:pPr>
              <w:jc w:val="center"/>
            </w:pPr>
            <w:r>
              <w:rPr>
                <w:rFonts w:ascii="Arial" w:cs="Arial" w:eastAsia="Arial" w:hAnsi="Arial"/>
                <w:b/>
                <w:bCs/>
                <w:color w:val="FFFFFF"/>
                <w:sz w:val="16"/>
                <w:szCs w:val="16"/>
              </w:rPr>
              <w:t xml:space="preserve">1</w:t>
            </w:r>
          </w:p>
        </w:tc>
        <w:tc>
          <w:tcPr>
            <w:tcBorders>
              <w:top w:val="none"/>
              <w:left w:val="none"/>
              <w:bottom w:val="none"/>
              <w:right w:val="none"/>
            </w:tcBorders>
            <w:shd w:fill="F4F7FA" w:val="clear"/>
            <w:tcMar>
              <w:top w:type="dxa" w:w="65"/>
              <w:left w:type="dxa" w:w="100"/>
              <w:bottom w:type="dxa" w:w="65"/>
              <w:right w:type="dxa" w:w="80"/>
            </w:tcMar>
          </w:tcPr>
          <w:p>
            <w:r>
              <w:rPr>
                <w:rFonts w:ascii="Georgia" w:cs="Georgia" w:eastAsia="Georgia" w:hAnsi="Georgia"/>
                <w:b/>
                <w:bCs/>
                <w:color w:val="1F3864"/>
                <w:sz w:val="20"/>
                <w:szCs w:val="20"/>
              </w:rPr>
              <w:t xml:space="preserve">Rector</w:t>
            </w:r>
          </w:p>
        </w:tc>
        <w:tc>
          <w:tcPr>
            <w:tcBorders>
              <w:top w:val="none"/>
              <w:left w:val="none"/>
              <w:bottom w:val="none"/>
              <w:right w:val="none"/>
            </w:tcBorders>
            <w:shd w:fill="F4F7FA" w:val="clear"/>
            <w:tcMar>
              <w:top w:type="dxa" w:w="65"/>
              <w:left w:type="dxa" w:w="110"/>
              <w:bottom w:type="dxa" w:w="65"/>
              <w:right w:type="dxa" w:w="80"/>
            </w:tcMar>
          </w:tcPr>
          <w:p>
            <w:pPr>
              <w:jc w:val="both"/>
            </w:pPr>
            <w:r>
              <w:rPr>
                <w:rFonts w:ascii="Georgia" w:cs="Georgia" w:eastAsia="Georgia" w:hAnsi="Georgia"/>
                <w:color w:val="1A1A1A"/>
                <w:sz w:val="20"/>
                <w:szCs w:val="20"/>
              </w:rPr>
              <w:t xml:space="preserve">Drafts the Statement. Circulates to Senate Chair and Dean (Academic) for internal review before Hochschulrat submission.</w:t>
            </w:r>
          </w:p>
        </w:tc>
      </w:tr>
      <w:tr>
        <w:tc>
          <w:tcPr>
            <w:tcBorders>
              <w:top w:val="none"/>
              <w:left w:val="none"/>
              <w:bottom w:val="none"/>
              <w:right w:val="none"/>
            </w:tcBorders>
            <w:shd w:fill="1F3864" w:val="clear"/>
            <w:tcMar>
              <w:top w:type="dxa" w:w="65"/>
              <w:left w:type="dxa" w:w="100"/>
              <w:bottom w:type="dxa" w:w="65"/>
              <w:right w:type="dxa" w:w="80"/>
            </w:tcMar>
          </w:tcPr>
          <w:p>
            <w:pPr>
              <w:jc w:val="center"/>
            </w:pPr>
            <w:r>
              <w:rPr>
                <w:rFonts w:ascii="Arial" w:cs="Arial" w:eastAsia="Arial" w:hAnsi="Arial"/>
                <w:b/>
                <w:bCs/>
                <w:color w:val="FFFFFF"/>
                <w:sz w:val="16"/>
                <w:szCs w:val="16"/>
              </w:rPr>
              <w:t xml:space="preserve">2</w:t>
            </w:r>
          </w:p>
        </w:tc>
        <w:tc>
          <w:tcPr>
            <w:tcBorders>
              <w:top w:val="none"/>
              <w:left w:val="none"/>
              <w:bottom w:val="none"/>
              <w:right w:val="none"/>
            </w:tcBorders>
            <w:shd w:fill="FFFFFF" w:val="clear"/>
            <w:tcMar>
              <w:top w:type="dxa" w:w="65"/>
              <w:left w:type="dxa" w:w="100"/>
              <w:bottom w:type="dxa" w:w="65"/>
              <w:right w:type="dxa" w:w="80"/>
            </w:tcMar>
          </w:tcPr>
          <w:p>
            <w:r>
              <w:rPr>
                <w:rFonts w:ascii="Georgia" w:cs="Georgia" w:eastAsia="Georgia" w:hAnsi="Georgia"/>
                <w:b/>
                <w:bCs/>
                <w:color w:val="1F3864"/>
                <w:sz w:val="20"/>
                <w:szCs w:val="20"/>
              </w:rPr>
              <w:t xml:space="preserve">Hochschulrat</w:t>
            </w:r>
          </w:p>
        </w:tc>
        <w:tc>
          <w:tcPr>
            <w:tcBorders>
              <w:top w:val="none"/>
              <w:left w:val="none"/>
              <w:bottom w:val="none"/>
              <w:right w:val="none"/>
            </w:tcBorders>
            <w:shd w:fill="FFFFFF" w:val="clear"/>
            <w:tcMar>
              <w:top w:type="dxa" w:w="65"/>
              <w:left w:type="dxa" w:w="110"/>
              <w:bottom w:type="dxa" w:w="65"/>
              <w:right w:type="dxa" w:w="80"/>
            </w:tcMar>
          </w:tcPr>
          <w:p>
            <w:pPr>
              <w:jc w:val="both"/>
            </w:pPr>
            <w:r>
              <w:rPr>
                <w:rFonts w:ascii="Georgia" w:cs="Georgia" w:eastAsia="Georgia" w:hAnsi="Georgia"/>
                <w:color w:val="1A1A1A"/>
                <w:sz w:val="20"/>
                <w:szCs w:val="20"/>
              </w:rPr>
              <w:t xml:space="preserve">Reviews at the next scheduled meeting. Is the connection to educational purpose genuine? Is the indicator specific enough to verify? Approves, requests revision, or declines.</w:t>
            </w:r>
          </w:p>
        </w:tc>
      </w:tr>
      <w:tr>
        <w:tc>
          <w:tcPr>
            <w:tcBorders>
              <w:top w:val="none"/>
              <w:left w:val="none"/>
              <w:bottom w:val="none"/>
              <w:right w:val="none"/>
            </w:tcBorders>
            <w:shd w:fill="1F3864" w:val="clear"/>
            <w:tcMar>
              <w:top w:type="dxa" w:w="65"/>
              <w:left w:type="dxa" w:w="100"/>
              <w:bottom w:type="dxa" w:w="65"/>
              <w:right w:type="dxa" w:w="80"/>
            </w:tcMar>
          </w:tcPr>
          <w:p>
            <w:pPr>
              <w:jc w:val="center"/>
            </w:pPr>
            <w:r>
              <w:rPr>
                <w:rFonts w:ascii="Arial" w:cs="Arial" w:eastAsia="Arial" w:hAnsi="Arial"/>
                <w:b/>
                <w:bCs/>
                <w:color w:val="FFFFFF"/>
                <w:sz w:val="16"/>
                <w:szCs w:val="16"/>
              </w:rPr>
              <w:t xml:space="preserve">3</w:t>
            </w:r>
          </w:p>
        </w:tc>
        <w:tc>
          <w:tcPr>
            <w:tcBorders>
              <w:top w:val="none"/>
              <w:left w:val="none"/>
              <w:bottom w:val="none"/>
              <w:right w:val="none"/>
            </w:tcBorders>
            <w:shd w:fill="F4F7FA" w:val="clear"/>
            <w:tcMar>
              <w:top w:type="dxa" w:w="65"/>
              <w:left w:type="dxa" w:w="100"/>
              <w:bottom w:type="dxa" w:w="65"/>
              <w:right w:type="dxa" w:w="80"/>
            </w:tcMar>
          </w:tcPr>
          <w:p>
            <w:r>
              <w:rPr>
                <w:rFonts w:ascii="Georgia" w:cs="Georgia" w:eastAsia="Georgia" w:hAnsi="Georgia"/>
                <w:b/>
                <w:bCs/>
                <w:color w:val="1F3864"/>
                <w:sz w:val="20"/>
                <w:szCs w:val="20"/>
              </w:rPr>
              <w:t xml:space="preserve">Rector</w:t>
            </w:r>
          </w:p>
        </w:tc>
        <w:tc>
          <w:tcPr>
            <w:tcBorders>
              <w:top w:val="none"/>
              <w:left w:val="none"/>
              <w:bottom w:val="none"/>
              <w:right w:val="none"/>
            </w:tcBorders>
            <w:shd w:fill="F4F7FA" w:val="clear"/>
            <w:tcMar>
              <w:top w:type="dxa" w:w="65"/>
              <w:left w:type="dxa" w:w="110"/>
              <w:bottom w:type="dxa" w:w="65"/>
              <w:right w:type="dxa" w:w="80"/>
            </w:tcMar>
          </w:tcPr>
          <w:p>
            <w:pPr>
              <w:jc w:val="both"/>
            </w:pPr>
            <w:r>
              <w:rPr>
                <w:rFonts w:ascii="Georgia" w:cs="Georgia" w:eastAsia="Georgia" w:hAnsi="Georgia"/>
                <w:color w:val="1A1A1A"/>
                <w:sz w:val="20"/>
                <w:szCs w:val="20"/>
              </w:rPr>
              <w:t xml:space="preserve">Proceeds with structural response design only after Hochschulrat approval. The Statement is the authorising document.</w:t>
            </w:r>
          </w:p>
        </w:tc>
      </w:tr>
      <w:tr>
        <w:tc>
          <w:tcPr>
            <w:tcBorders>
              <w:top w:val="none"/>
              <w:left w:val="none"/>
              <w:bottom w:val="none"/>
              <w:right w:val="none"/>
            </w:tcBorders>
            <w:shd w:fill="1F3864" w:val="clear"/>
            <w:tcMar>
              <w:top w:type="dxa" w:w="65"/>
              <w:left w:type="dxa" w:w="100"/>
              <w:bottom w:type="dxa" w:w="65"/>
              <w:right w:type="dxa" w:w="80"/>
            </w:tcMar>
          </w:tcPr>
          <w:p>
            <w:pPr>
              <w:jc w:val="center"/>
            </w:pPr>
            <w:r>
              <w:rPr>
                <w:rFonts w:ascii="Arial" w:cs="Arial" w:eastAsia="Arial" w:hAnsi="Arial"/>
                <w:b/>
                <w:bCs/>
                <w:color w:val="FFFFFF"/>
                <w:sz w:val="16"/>
                <w:szCs w:val="16"/>
              </w:rPr>
              <w:t xml:space="preserve">4</w:t>
            </w:r>
          </w:p>
        </w:tc>
        <w:tc>
          <w:tcPr>
            <w:tcBorders>
              <w:top w:val="none"/>
              <w:left w:val="none"/>
              <w:bottom w:val="none"/>
              <w:right w:val="none"/>
            </w:tcBorders>
            <w:shd w:fill="FFFFFF" w:val="clear"/>
            <w:tcMar>
              <w:top w:type="dxa" w:w="65"/>
              <w:left w:type="dxa" w:w="100"/>
              <w:bottom w:type="dxa" w:w="65"/>
              <w:right w:type="dxa" w:w="80"/>
            </w:tcMar>
          </w:tcPr>
          <w:p>
            <w:r>
              <w:rPr>
                <w:rFonts w:ascii="Georgia" w:cs="Georgia" w:eastAsia="Georgia" w:hAnsi="Georgia"/>
                <w:b/>
                <w:bCs/>
                <w:color w:val="1F3864"/>
                <w:sz w:val="20"/>
                <w:szCs w:val="20"/>
              </w:rPr>
              <w:t xml:space="preserve">Rector</w:t>
            </w:r>
          </w:p>
        </w:tc>
        <w:tc>
          <w:tcPr>
            <w:tcBorders>
              <w:top w:val="none"/>
              <w:left w:val="none"/>
              <w:bottom w:val="none"/>
              <w:right w:val="none"/>
            </w:tcBorders>
            <w:shd w:fill="FFFFFF" w:val="clear"/>
            <w:tcMar>
              <w:top w:type="dxa" w:w="65"/>
              <w:left w:type="dxa" w:w="110"/>
              <w:bottom w:type="dxa" w:w="65"/>
              <w:right w:type="dxa" w:w="80"/>
            </w:tcMar>
          </w:tcPr>
          <w:p>
            <w:pPr>
              <w:jc w:val="both"/>
            </w:pPr>
            <w:r>
              <w:rPr>
                <w:rFonts w:ascii="Georgia" w:cs="Georgia" w:eastAsia="Georgia" w:hAnsi="Georgia"/>
                <w:color w:val="1A1A1A"/>
                <w:sz w:val="20"/>
                <w:szCs w:val="20"/>
              </w:rPr>
              <w:t xml:space="preserve">At programme end or two-year mark, adds Conversion Outcome Note. Presents to Hochschulrat at annual strategic session.</w:t>
            </w:r>
          </w:p>
        </w:tc>
      </w:tr>
      <w:tr>
        <w:tc>
          <w:tcPr>
            <w:tcBorders>
              <w:top w:val="none"/>
              <w:left w:val="none"/>
              <w:bottom w:val="none"/>
              <w:right w:val="none"/>
            </w:tcBorders>
            <w:shd w:fill="1F3864" w:val="clear"/>
            <w:tcMar>
              <w:top w:type="dxa" w:w="65"/>
              <w:left w:type="dxa" w:w="100"/>
              <w:bottom w:type="dxa" w:w="65"/>
              <w:right w:type="dxa" w:w="80"/>
            </w:tcMar>
          </w:tcPr>
          <w:p>
            <w:pPr>
              <w:jc w:val="center"/>
            </w:pPr>
            <w:r>
              <w:rPr>
                <w:rFonts w:ascii="Arial" w:cs="Arial" w:eastAsia="Arial" w:hAnsi="Arial"/>
                <w:b/>
                <w:bCs/>
                <w:color w:val="FFFFFF"/>
                <w:sz w:val="16"/>
                <w:szCs w:val="16"/>
              </w:rPr>
              <w:t xml:space="preserve">5</w:t>
            </w:r>
          </w:p>
        </w:tc>
        <w:tc>
          <w:tcPr>
            <w:tcBorders>
              <w:top w:val="none"/>
              <w:left w:val="none"/>
              <w:bottom w:val="none"/>
              <w:right w:val="none"/>
            </w:tcBorders>
            <w:shd w:fill="F4F7FA" w:val="clear"/>
            <w:tcMar>
              <w:top w:type="dxa" w:w="65"/>
              <w:left w:type="dxa" w:w="100"/>
              <w:bottom w:type="dxa" w:w="65"/>
              <w:right w:type="dxa" w:w="80"/>
            </w:tcMar>
          </w:tcPr>
          <w:p>
            <w:r>
              <w:rPr>
                <w:rFonts w:ascii="Georgia" w:cs="Georgia" w:eastAsia="Georgia" w:hAnsi="Georgia"/>
                <w:b/>
                <w:bCs/>
                <w:color w:val="1F3864"/>
                <w:sz w:val="20"/>
                <w:szCs w:val="20"/>
              </w:rPr>
              <w:t xml:space="preserve">Institutional record</w:t>
            </w:r>
          </w:p>
        </w:tc>
        <w:tc>
          <w:tcPr>
            <w:tcBorders>
              <w:top w:val="none"/>
              <w:left w:val="none"/>
              <w:bottom w:val="none"/>
              <w:right w:val="none"/>
            </w:tcBorders>
            <w:shd w:fill="F4F7FA" w:val="clear"/>
            <w:tcMar>
              <w:top w:type="dxa" w:w="65"/>
              <w:left w:type="dxa" w:w="110"/>
              <w:bottom w:type="dxa" w:w="65"/>
              <w:right w:type="dxa" w:w="80"/>
            </w:tcMar>
          </w:tcPr>
          <w:p>
            <w:pPr>
              <w:jc w:val="both"/>
            </w:pPr>
            <w:r>
              <w:rPr>
                <w:rFonts w:ascii="Georgia" w:cs="Georgia" w:eastAsia="Georgia" w:hAnsi="Georgia"/>
                <w:color w:val="1A1A1A"/>
                <w:sz w:val="20"/>
                <w:szCs w:val="20"/>
              </w:rPr>
              <w:t xml:space="preserve">Statement and Outcome Note retained permanently. Both referenced in the next Developmental Audit Self-Assessment.</w:t>
            </w:r>
          </w:p>
        </w:tc>
      </w:tr>
    </w:tbl>
    <w:p>
      <w:pPr>
        <w:spacing w:after="200" w:before="0"/>
      </w:pPr>
    </w:p>
    <w:p>
      <w:pPr>
        <w:pBdr>
          <w:bottom w:val="single" w:color="2E75B6" w:sz="4" w:space="1"/>
        </w:pBdr>
        <w:spacing w:after="120" w:before="0"/>
      </w:pPr>
    </w:p>
    <w:p>
      <w:pPr>
        <w:pBdr>
          <w:bottom w:val="single" w:color="2E75B6" w:sz="4" w:space="1"/>
        </w:pBdr>
        <w:spacing w:after="120" w:before="200"/>
      </w:pPr>
    </w:p>
    <w:p>
      <w:pPr>
        <w:spacing w:after="0" w:before="120"/>
        <w:jc w:val="right"/>
      </w:pPr>
      <w:r>
        <w:rPr>
          <w:rFonts w:ascii="Arial" w:cs="Arial" w:eastAsia="Arial" w:hAnsi="Arial"/>
          <w:i/>
          <w:iCs/>
          <w:color w:val="BBBBBB"/>
          <w:sz w:val="16"/>
          <w:szCs w:val="16"/>
        </w:rPr>
        <w:t xml:space="preserve">Open University of Germany  ·  Incentive Conversion Statement  ·  GP-6 Gap Closure  ·  2026</w:t>
      </w:r>
    </w:p>
    <w:sectPr>
      <w:pgSz w:w="11906" w:h="16838" w:orient="portrait"/>
      <w:pgMar w:top="1300" w:right="1440" w:bottom="14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Georgia" w:cs="Georgia" w:eastAsia="Georgia" w:hAnsi="Georgia"/>
        <w:b/>
        <w:bCs/>
        <w:color w:val="2E75B6"/>
        <w:sz w:val="23"/>
        <w:szCs w:val="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80"/>
      <w:outlineLvl w:val="0"/>
    </w:pPr>
    <w:rPr>
      <w:rFonts w:ascii="Georgia" w:cs="Georgia" w:eastAsia="Georgia" w:hAnsi="Georgia"/>
      <w:b/>
      <w:bCs/>
      <w:color w:val="1F3864"/>
      <w:sz w:val="30"/>
      <w:szCs w:val="30"/>
    </w:rPr>
  </w:style>
  <w:style w:type="paragraph" w:styleId="Heading2">
    <w:name w:val="Heading 2"/>
    <w:basedOn w:val="Normal"/>
    <w:next w:val="Normal"/>
    <w:qFormat/>
    <w:pPr>
      <w:spacing w:after="100" w:before="300"/>
      <w:outlineLvl w:val="1"/>
    </w:pPr>
    <w:rPr>
      <w:rFonts w:ascii="Georgia" w:cs="Georgia" w:eastAsia="Georgia" w:hAnsi="Georgia"/>
      <w:b/>
      <w:bCs/>
      <w:color w:val="2E75B6"/>
      <w:sz w:val="25"/>
      <w:szCs w:val="25"/>
    </w:rPr>
  </w:style>
  <w:style w:type="paragraph" w:styleId="Heading3">
    <w:name w:val="Heading 3"/>
    <w:basedOn w:val="Normal"/>
    <w:next w:val="Normal"/>
    <w:qFormat/>
    <w:pPr>
      <w:spacing w:after="70" w:before="220"/>
      <w:outlineLvl w:val="2"/>
    </w:pPr>
    <w:rPr>
      <w:rFonts w:ascii="Arial" w:cs="Arial" w:eastAsia="Arial" w:hAnsi="Arial"/>
      <w:b/>
      <w:bCs/>
      <w:color w:val="1A5C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2026-06-03T06:48:49.350Z</dcterms:created>
  <dcterms:modified xsi:type="dcterms:W3CDTF">2026-06-03T06:48:49.350Z</dcterms:modified>
</cp:coreProperties>
</file>

<file path=docProps/custom.xml><?xml version="1.0" encoding="utf-8"?>
<Properties xmlns="http://schemas.openxmlformats.org/officeDocument/2006/custom-properties" xmlns:vt="http://schemas.openxmlformats.org/officeDocument/2006/docPropsVTypes"/>
</file>