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2E75B6"/>
          <w:sz w:val="17"/>
          <w:szCs w:val="17"/>
        </w:rPr>
        <w:t xml:space="preserve">OPEN UNIVERSITY OF GERMANY</w:t>
      </w:r>
    </w:p>
    <w:p>
      <w:pPr>
        <w:spacing w:before="0" w:after="60"/>
      </w:pPr>
      <w:r>
        <w:rPr>
          <w:rFonts w:ascii="Arial" w:cs="Arial" w:eastAsia="Arial" w:hAnsi="Arial"/>
          <w:color w:val="AAAAAA"/>
          <w:sz w:val="17"/>
          <w:szCs w:val="17"/>
        </w:rPr>
        <w:t xml:space="preserve">Working Paper  ·  Institutional Design  ·  2026</w:t>
      </w:r>
    </w:p>
    <w:p>
      <w:pPr>
        <w:pBdr>
          <w:bottom w:val="single" w:color="2E75B6" w:sz="10" w:space="1"/>
        </w:pBdr>
        <w:spacing w:before="0" w:after="280"/>
      </w:pPr>
    </w:p>
    <w:p>
      <w:pPr>
        <w:spacing w:before="0" w:after="60"/>
      </w:pPr>
      <w:r>
        <w:rPr>
          <w:rFonts w:ascii="Georgia" w:cs="Georgia" w:eastAsia="Georgia" w:hAnsi="Georgia"/>
          <w:b/>
          <w:bCs/>
          <w:color w:val="0D1F3C"/>
          <w:sz w:val="48"/>
          <w:szCs w:val="48"/>
        </w:rPr>
        <w:t xml:space="preserve">Equity by Design:</w:t>
      </w:r>
    </w:p>
    <w:p>
      <w:pPr>
        <w:spacing w:before="0" w:after="60"/>
      </w:pPr>
      <w:r>
        <w:rPr>
          <w:rFonts w:ascii="Georgia" w:cs="Georgia" w:eastAsia="Georgia" w:hAnsi="Georgia"/>
          <w:b w:val="false"/>
          <w:bCs w:val="false"/>
          <w:color w:val="1F3864"/>
          <w:sz w:val="28"/>
          <w:szCs w:val="28"/>
        </w:rPr>
        <w:t xml:space="preserve">Principles from Research on Inequality Framing, Task-Based Learning, and Open Educational Design Applied to the OUG Model</w:t>
      </w:r>
    </w:p>
    <w:p>
      <w:pPr>
        <w:spacing w:before="0" w:after="280"/>
      </w:pPr>
      <w:r>
        <w:rPr>
          <w:rFonts w:ascii="Georgia" w:cs="Georgia" w:eastAsia="Georgia" w:hAnsi="Georgia"/>
          <w:i/>
          <w:iCs/>
          <w:color w:val="2E75B6"/>
          <w:sz w:val="22"/>
          <w:szCs w:val="22"/>
        </w:rPr>
        <w:t xml:space="preserve">A principle-based assessment of how the Open University of Germany addresses, partially addresses, and fails to address structural equity in governance, pedagogy, platform, and credential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spacing w:before="0" w:after="80"/>
            </w:pPr>
            <w:r>
              <w:rPr>
                <w:rFonts w:ascii="Arial" w:cs="Arial" w:eastAsia="Arial" w:hAnsi="Arial"/>
                <w:b/>
                <w:bCs/>
                <w:caps/>
                <w:color w:val="1F3864"/>
                <w:sz w:val="19"/>
                <w:szCs w:val="19"/>
              </w:rPr>
              <w:t xml:space="preserve">Abstract</w:t>
            </w:r>
          </w:p>
          <w:p>
            <w:pPr>
              <w:spacing w:before="0" w:after="0"/>
              <w:jc w:val="both"/>
            </w:pPr>
            <w:r>
              <w:rPr>
                <w:rFonts w:ascii="Georgia" w:cs="Georgia" w:eastAsia="Georgia" w:hAnsi="Georgia"/>
                <w:i/>
                <w:iCs/>
                <w:color w:val="1A1A1A"/>
                <w:sz w:val="21"/>
                <w:szCs w:val="21"/>
              </w:rPr>
              <w:t xml:space="preserve">Educational inequity is reproduced at multiple institutional levels simultaneously — governance, pedagogy, platform, and credential design — and must therefore be addressed at multiple levels simultaneously. This working paper derives design principles from four empirical literatures: research on inequality framing effects on engagement and policy support (Lowery et al., 2011; Lowery &amp; Wout, 2010; Malapally et al., 2025); task-based learning and learning analytics in programming education (Berkling, in review); and the structural analysis of advantage and disadvantage frames in public discourse (Malapally et al., 2025). Twenty design principles are derived across five domains — governance, institutional framing, pedagogy, platform design, and credential architecture — and each is assessed against the current OUG institutional design. Eleven principles are strongly addressed, six are partially addressed, and three require specific action. The document concludes with an integrated account of how governance-level and pedagogy-level equity mechanisms interact, and with a research agenda for testing these interactions empirically using the OUG as a case study.</w:t>
            </w:r>
          </w:p>
        </w:tc>
      </w:tr>
    </w:tbl>
    <w:p>
      <w:pPr>
        <w:spacing w:before="0" w:after="300"/>
      </w:pPr>
    </w:p>
    <w:p>
      <w:pPr>
        <w:pStyle w:val="Heading1"/>
        <w:spacing w:before="480" w:after="140"/>
      </w:pPr>
      <w:r>
        <w:rPr>
          <w:rFonts w:ascii="Georgia" w:cs="Georgia" w:eastAsia="Georgia" w:hAnsi="Georgia"/>
          <w:b/>
          <w:bCs/>
          <w:color w:val="1F3864"/>
          <w:sz w:val="30"/>
          <w:szCs w:val="30"/>
        </w:rPr>
        <w:t xml:space="preserve">I.  Theoretical Grounding</w:t>
      </w:r>
    </w:p>
    <w:p>
      <w:pPr>
        <w:pStyle w:val="Heading2"/>
        <w:spacing w:before="320" w:after="100"/>
      </w:pPr>
      <w:r>
        <w:rPr>
          <w:rFonts w:ascii="Georgia" w:cs="Georgia" w:eastAsia="Georgia" w:hAnsi="Georgia"/>
          <w:b/>
          <w:bCs/>
          <w:color w:val="2E75B6"/>
          <w:sz w:val="25"/>
          <w:szCs w:val="25"/>
        </w:rPr>
        <w:t xml:space="preserve">1.1  Inequality Framing and Its Effects on Engagement</w:t>
      </w:r>
    </w:p>
    <w:p>
      <w:pPr>
        <w:spacing w:before="0" w:after="185"/>
        <w:ind/>
        <w:jc w:val="both"/>
      </w:pPr>
      <w:r>
        <w:rPr>
          <w:rFonts w:ascii="Georgia" w:cs="Georgia" w:eastAsia="Georgia" w:hAnsi="Georgia"/>
          <w:b w:val="false"/>
          <w:bCs w:val="false"/>
          <w:i w:val="false"/>
          <w:iCs w:val="false"/>
          <w:color w:val="1A1A1A"/>
          <w:sz w:val="23"/>
          <w:szCs w:val="23"/>
        </w:rPr>
        <w:t xml:space="preserve">A foundational insight from social psychology is that the same inequality, described differently, produces different psychological and behavioural responses. Lowery et al. (2011) demonstrated across four studies that inequity framed as White advantage — rather than minority disadvantage — increases White participants' support for redistributive policies they perceive as harming their own group, driven by a desire to restore positive group esteem. The mechanism is significant for institutional design: framing shapes not just what people think about inequality, but whether they are motivated to act on it.</w:t>
      </w:r>
    </w:p>
    <w:p>
      <w:pPr>
        <w:spacing w:before="0" w:after="185"/>
        <w:ind/>
        <w:jc w:val="both"/>
      </w:pPr>
      <w:r>
        <w:rPr>
          <w:rFonts w:ascii="Georgia" w:cs="Georgia" w:eastAsia="Georgia" w:hAnsi="Georgia"/>
          <w:b w:val="false"/>
          <w:bCs w:val="false"/>
          <w:i w:val="false"/>
          <w:iCs w:val="false"/>
          <w:color w:val="1A1A1A"/>
          <w:sz w:val="23"/>
          <w:szCs w:val="23"/>
        </w:rPr>
        <w:t xml:space="preserve">Lowery and Wout (2010) extended this finding to educational engagement directly. Across five experiments with Black, Latino, White, male, and female students, they showed that inequality framed as ingroup disadvantage causes members of subordinate groups to disengage their self-esteem from academic performance, while the same inequality framed as dominant-group advantage allows them to remain engaged. Crucially, the same framing that enables subordinate-group engagement causes dominant-group members to disengage. The authors concluded that changes in how institutions describe inequality may be sufficient to alter engagement patterns — without changing the structural facts of the inequality itself.</w:t>
      </w:r>
    </w:p>
    <w:p>
      <w:pPr>
        <w:spacing w:before="0" w:after="185"/>
        <w:ind/>
        <w:jc w:val="both"/>
      </w:pPr>
      <w:r>
        <w:rPr>
          <w:rFonts w:ascii="Georgia" w:cs="Georgia" w:eastAsia="Georgia" w:hAnsi="Georgia"/>
          <w:b w:val="false"/>
          <w:bCs w:val="false"/>
          <w:i w:val="false"/>
          <w:iCs w:val="false"/>
          <w:color w:val="1A1A1A"/>
          <w:sz w:val="23"/>
          <w:szCs w:val="23"/>
        </w:rPr>
        <w:t xml:space="preserve">Malapally et al. (2025) provided a systematic review of 71 experimental studies (N = 20,063) on (dis)advantage framing effects, synthesising findings into a two-step model. Step 1 posits that the linguistic focus on advantage or disadvantage induces a corresponding cognitive focus in recipients through the mechanisms of focalism (Tversky, 1977) and norm theory (Kahneman &amp; Miller, 1986). Step 2 posits that this cognitive focus shapes responses through processes moderated by features of the inequality (legitimacy, size, level), features of the communicator (group membership), and features of the recipient (group membership, attitudes). Their key conclusion for practice is that neither advantage nor disadvantage framing is universally more effective for challenging inequality — the optimal approach depends on the specific context and the specific response being sought. A balanced account of both advantage and disadvantage mechanisms is necessary for a complete understanding.</w:t>
      </w:r>
    </w:p>
    <w:p>
      <w:pPr>
        <w:pStyle w:val="Heading2"/>
        <w:spacing w:before="320" w:after="100"/>
      </w:pPr>
      <w:r>
        <w:rPr>
          <w:rFonts w:ascii="Georgia" w:cs="Georgia" w:eastAsia="Georgia" w:hAnsi="Georgia"/>
          <w:b/>
          <w:bCs/>
          <w:color w:val="2E75B6"/>
          <w:sz w:val="25"/>
          <w:szCs w:val="25"/>
        </w:rPr>
        <w:t xml:space="preserve">1.2  Task-Based Learning and Assessment Transparency</w:t>
      </w:r>
    </w:p>
    <w:p>
      <w:pPr>
        <w:spacing w:before="0" w:after="185"/>
        <w:ind/>
        <w:jc w:val="both"/>
      </w:pPr>
      <w:r>
        <w:rPr>
          <w:rFonts w:ascii="Georgia" w:cs="Georgia" w:eastAsia="Georgia" w:hAnsi="Georgia"/>
          <w:b w:val="false"/>
          <w:bCs w:val="false"/>
          <w:i w:val="false"/>
          <w:iCs w:val="false"/>
          <w:color w:val="1A1A1A"/>
          <w:sz w:val="23"/>
          <w:szCs w:val="23"/>
        </w:rPr>
        <w:t xml:space="preserve">Berkling (in review) reports an 8-week introductory Java programming course designed explicitly around task-based learning (TBL) principles, in which 16 students engaged with 26 purposefully designed tasks aligned to 44 learning outcomes across eight skill categories. The study produced two principal empirical findings relevant to equity in pedagogy. First, a near-perfect correlation between weekly engagement depth and learning gains (r = 0.958, p = .003) demonstrates that in a TBL design, sustained task engagement is the primary predictor of outcome — not prior knowledge, not institutional background, and not confidence levels. Second, the Productive Struggle Paradox: lower weekly confidence ratings, when accompanied by sustained engagement, predict higher learning outcomes (r = −0.722). This finding directly challenges deficit-based assumptions about learner capability and suggests that struggle is constitutive of learning, not evidence of inability.</w:t>
      </w:r>
    </w:p>
    <w:p>
      <w:pPr>
        <w:spacing w:before="0" w:after="185"/>
        <w:ind/>
        <w:jc w:val="both"/>
      </w:pPr>
      <w:r>
        <w:rPr>
          <w:rFonts w:ascii="Georgia" w:cs="Georgia" w:eastAsia="Georgia" w:hAnsi="Georgia"/>
          <w:b w:val="false"/>
          <w:bCs w:val="false"/>
          <w:i w:val="false"/>
          <w:iCs w:val="false"/>
          <w:color w:val="1A1A1A"/>
          <w:sz w:val="23"/>
          <w:szCs w:val="23"/>
        </w:rPr>
        <w:t xml:space="preserve">A further finding of particular equity relevance is that the TBL design successfully differentiated for diverse prior knowledge levels (positive pre-gain correlation: r = 0.568), meaning students who entered with lower prior knowledge gained proportionally more. This inverts the typical pattern in higher education, where prior advantage compounds. The study also demonstrated that meta-skills — self-regulation, analytical thinking, independent learning — were as frequently targeted as domain-specific skills, and were demonstrably developed through the task-based design. These meta-skills are precisely the competencies that learners from non-traditional educational backgrounds are most likely to lack and most likely to need for sustained engagement in higher education.</w:t>
      </w:r>
    </w:p>
    <w:p>
      <w:pPr>
        <w:pStyle w:val="Heading2"/>
        <w:spacing w:before="320" w:after="100"/>
      </w:pPr>
      <w:r>
        <w:rPr>
          <w:rFonts w:ascii="Georgia" w:cs="Georgia" w:eastAsia="Georgia" w:hAnsi="Georgia"/>
          <w:b/>
          <w:bCs/>
          <w:color w:val="2E75B6"/>
          <w:sz w:val="25"/>
          <w:szCs w:val="25"/>
        </w:rPr>
        <w:t xml:space="preserve">1.3  The Multi-Level Nature of Educational Inequity</w:t>
      </w:r>
    </w:p>
    <w:p>
      <w:pPr>
        <w:spacing w:before="0" w:after="185"/>
        <w:ind/>
        <w:jc w:val="both"/>
      </w:pPr>
      <w:r>
        <w:rPr>
          <w:rFonts w:ascii="Georgia" w:cs="Georgia" w:eastAsia="Georgia" w:hAnsi="Georgia"/>
          <w:b w:val="false"/>
          <w:bCs w:val="false"/>
          <w:i w:val="false"/>
          <w:iCs w:val="false"/>
          <w:color w:val="1A1A1A"/>
          <w:sz w:val="23"/>
          <w:szCs w:val="23"/>
        </w:rPr>
        <w:t xml:space="preserve">Taken together, these literatures converge on a structural claim: educational inequity is not a property of individual learners but of systems, and those systems reproduce inequity through their default assumptions about who they are designed for. Framing effects demonstrate that how an institution communicates about access matters as much as what access it provides. Task-based learning demonstrates that how learning is structured determines whether diverse learners can succeed. The implication for institutional design is that equity requires deliberate attention at every level of the system — governance, communication, pedagogy, platform, and credential — and that changes at any single level without corresponding changes at others will produce incomplete results.</w:t>
      </w:r>
    </w:p>
    <w:p>
      <w:pPr>
        <w:spacing w:before="0" w:after="1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II.  Twenty Design Principles</w:t>
      </w:r>
    </w:p>
    <w:p>
      <w:pPr>
        <w:spacing w:before="0" w:after="185"/>
        <w:ind/>
        <w:jc w:val="both"/>
      </w:pPr>
      <w:r>
        <w:rPr>
          <w:rFonts w:ascii="Georgia" w:cs="Georgia" w:eastAsia="Georgia" w:hAnsi="Georgia"/>
          <w:b w:val="false"/>
          <w:bCs w:val="false"/>
          <w:i w:val="false"/>
          <w:iCs w:val="false"/>
          <w:color w:val="1A1A1A"/>
          <w:sz w:val="23"/>
          <w:szCs w:val="23"/>
        </w:rPr>
        <w:t xml:space="preserve">The following twenty principles are derived from the empirical literature reviewed above. They are organised into five domains that correspond to the levels at which educational inequity is reproduced or reduced. Each principle is stated in normative form — how an institution should be designed — and is followed by an assessment of how the current OUG design addresses it.</w:t>
      </w:r>
    </w:p>
    <w:p>
      <w:pPr>
        <w:spacing w:before="0" w:after="80"/>
      </w:pPr>
    </w:p>
    <w:p>
      <w:pPr>
        <w:pStyle w:val="Heading2"/>
        <w:spacing w:before="320" w:after="100"/>
      </w:pPr>
      <w:r>
        <w:rPr>
          <w:rFonts w:ascii="Georgia" w:cs="Georgia" w:eastAsia="Georgia" w:hAnsi="Georgia"/>
          <w:b/>
          <w:bCs/>
          <w:color w:val="2E75B6"/>
          <w:sz w:val="25"/>
          <w:szCs w:val="25"/>
        </w:rPr>
        <w:t xml:space="preserve">Domain A: Governance as an Equity Mechanism</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  </w:t>
            </w:r>
            <w:r>
              <w:rPr>
                <w:rFonts w:ascii="Arial" w:cs="Arial" w:eastAsia="Arial" w:hAnsi="Arial"/>
                <w:i/>
                <w:iCs/>
                <w:color w:val="8899BB"/>
                <w:sz w:val="17"/>
                <w:szCs w:val="17"/>
              </w:rPr>
              <w:t xml:space="preserve">[Governance]  </w:t>
            </w:r>
            <w:r>
              <w:rPr>
                <w:rFonts w:ascii="Georgia" w:cs="Georgia" w:eastAsia="Georgia" w:hAnsi="Georgia"/>
                <w:b/>
                <w:bCs/>
                <w:color w:val="FFFFFF"/>
                <w:sz w:val="21"/>
                <w:szCs w:val="21"/>
              </w:rPr>
              <w:t xml:space="preserve">Governance legitimacy requires structural representation of the governed</w:t>
            </w:r>
          </w:p>
          <w:p>
            <w:pPr>
              <w:spacing w:before="0" w:after="0"/>
            </w:pPr>
            <w:r>
              <w:rPr>
                <w:rFonts w:ascii="Arial" w:cs="Arial" w:eastAsia="Arial" w:hAnsi="Arial"/>
                <w:i/>
                <w:iCs/>
                <w:color w:val="8899BB"/>
                <w:sz w:val="15"/>
                <w:szCs w:val="15"/>
              </w:rPr>
              <w:t xml:space="preserve">Literature basis: Lowery &amp; Wout, 2010; Malapally et al., 2025</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Academic Community Charter specifies that students hold full voting rights in the Senate on matters within the Senate's academic competence. Student representatives participate in programme committees and may raise concerns directly to the G3 Academic &amp; Quality Governance layer. The Quality Commission, newly added to the QA Framework, explicitly includes student representatives as full members. Industry partners hold Senate seats and committee memberships under the neue Dualität model, extending representation to the third group — employers — who have a stake in graduate outcomes.</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Representation is structurally designed rather than consultative. The critical question going forward is whether governance participation is genuinely accessible to OUG's target learners — working adults with caregiving responsibilities — or whether meeting formats, timing, and technical requirements inadvertently recreate the barriers they are designed to overcome. A governance accessibility audit should be conducted prior to the first student cohort.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P2  </w:t>
            </w:r>
            <w:r>
              <w:rPr>
                <w:rFonts w:ascii="Arial" w:cs="Arial" w:eastAsia="Arial" w:hAnsi="Arial"/>
                <w:i/>
                <w:iCs/>
                <w:color w:val="8899BB"/>
                <w:sz w:val="17"/>
                <w:szCs w:val="17"/>
              </w:rPr>
              <w:t xml:space="preserve">[Governance]  </w:t>
            </w:r>
            <w:r>
              <w:rPr>
                <w:rFonts w:ascii="Georgia" w:cs="Georgia" w:eastAsia="Georgia" w:hAnsi="Georgia"/>
                <w:b/>
                <w:bCs/>
                <w:color w:val="FFFFFF"/>
                <w:sz w:val="21"/>
                <w:szCs w:val="21"/>
              </w:rPr>
              <w:t xml:space="preserve">Checks and balances must structurally protect academic standards from financial pressure</w:t>
            </w:r>
          </w:p>
          <w:p>
            <w:pPr>
              <w:spacing w:before="0" w:after="0"/>
            </w:pPr>
            <w:r>
              <w:rPr>
                <w:rFonts w:ascii="Arial" w:cs="Arial" w:eastAsia="Arial" w:hAnsi="Arial"/>
                <w:i/>
                <w:iCs/>
                <w:color w:val="8899BB"/>
                <w:sz w:val="15"/>
                <w:szCs w:val="15"/>
              </w:rPr>
              <w:t xml:space="preserve">Literature basis: Lowery et al., 2011; Malapally et al., 2025 — the parallel is the illegitimate advantage mechanism: when dominant interests can override academic standards, the credential loses legitimacy</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Governance Architecture constitutionally insulates G3 (Academic &amp; Quality Governance) from G2 (Strategic Steering) on academic decisions. Financial and executive authority cannot override academic standards, degree requirements, or assessment design. The Quality Commission issues action mandates that carry real authority; its recommendations must be responded to by Mission Hubs within defined timeframes.</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This is one of the OUG's strongest design features. The constitutional insulation of G3 means that cost-reduction pressure — one of the most common mechanisms through which equity erodes in institutions serving non-traditional learners — has a structural barrier. The Stichprobe (annual examination sample) and the QM self-review mechanism ensure that this insulation is verified rather than merely declared.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P3  </w:t>
            </w:r>
            <w:r>
              <w:rPr>
                <w:rFonts w:ascii="Arial" w:cs="Arial" w:eastAsia="Arial" w:hAnsi="Arial"/>
                <w:i/>
                <w:iCs/>
                <w:color w:val="8899BB"/>
                <w:sz w:val="17"/>
                <w:szCs w:val="17"/>
              </w:rPr>
              <w:t xml:space="preserve">[Governance]  </w:t>
            </w:r>
            <w:r>
              <w:rPr>
                <w:rFonts w:ascii="Georgia" w:cs="Georgia" w:eastAsia="Georgia" w:hAnsi="Georgia"/>
                <w:b/>
                <w:bCs/>
                <w:color w:val="FFFFFF"/>
                <w:sz w:val="21"/>
                <w:szCs w:val="21"/>
              </w:rPr>
              <w:t xml:space="preserve">Governance participation must be accessible to the learners it claims to serve</w:t>
            </w:r>
          </w:p>
          <w:p>
            <w:pPr>
              <w:spacing w:before="0" w:after="0"/>
            </w:pPr>
            <w:r>
              <w:rPr>
                <w:rFonts w:ascii="Arial" w:cs="Arial" w:eastAsia="Arial" w:hAnsi="Arial"/>
                <w:i/>
                <w:iCs/>
                <w:color w:val="8899BB"/>
                <w:sz w:val="15"/>
                <w:szCs w:val="15"/>
              </w:rPr>
              <w:t xml:space="preserve">Literature basis: Lowery &amp; Wout, 2010 — the finding that disadvantage framing causes disengagement applies to governance contexts as well as academic ones</w:t>
            </w:r>
          </w:p>
        </w:tc>
      </w:tr>
      <w:tr>
        <w:tc>
          <w:tcPr>
            <w:tcW w:type="dxa" w:w="9026"/>
            <w:tcBorders>
              <w:top w:val="none"/>
              <w:left w:val="none"/>
              <w:bottom w:val="none"/>
              <w:right w:val="none"/>
            </w:tcBorders>
            <w:shd w:fill="FDF6EC" w:val="clear"/>
            <w:tcMar>
              <w:top w:type="dxa" w:w="70"/>
              <w:left w:type="dxa" w:w="200"/>
              <w:bottom w:type="dxa" w:w="70"/>
              <w:right w:type="dxa" w:w="160"/>
            </w:tcMar>
          </w:tcPr>
          <w:p>
            <w:r>
              <w:rPr>
                <w:rFonts w:ascii="Arial" w:cs="Arial" w:eastAsia="Arial" w:hAnsi="Arial"/>
                <w:b/>
                <w:bCs/>
                <w:caps/>
                <w:color w:val="7A4A00"/>
                <w:sz w:val="16"/>
                <w:szCs w:val="16"/>
              </w:rPr>
              <w:t xml:space="preserve">◑  Partial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distributed, digital model creates governance participation structures that are in principle more accessible than campus-based governance — no commute required, asynchronous input mechanisms possible. The Leadership Development &amp; Induction Framework specifies governance literacy as a core competency for all role-holders, reducing the tacit knowledge barrier.</w:t>
            </w:r>
          </w:p>
        </w:tc>
      </w:tr>
      <w:tr>
        <w:tc>
          <w:tcPr>
            <w:tcW w:type="dxa" w:w="9026"/>
            <w:tcBorders>
              <w:top w:val="none"/>
              <w:left w:val="none"/>
              <w:bottom w:val="none"/>
              <w:right w:val="none"/>
            </w:tcBorders>
            <w:shd w:fill="FDF6EC" w:val="clear"/>
            <w:tcMar>
              <w:top w:type="dxa" w:w="100"/>
              <w:left w:type="dxa" w:w="200"/>
              <w:bottom w:type="dxa" w:w="110"/>
              <w:right w:type="dxa" w:w="160"/>
            </w:tcMar>
          </w:tcPr>
          <w:p>
            <w:pPr>
              <w:spacing w:before="0" w:after="50"/>
            </w:pPr>
            <w:r>
              <w:rPr>
                <w:rFonts w:ascii="Arial" w:cs="Arial" w:eastAsia="Arial" w:hAnsi="Arial"/>
                <w:b/>
                <w:bCs/>
                <w:caps/>
                <w:color w:val="7A4A00"/>
                <w:sz w:val="15"/>
                <w:szCs w:val="15"/>
              </w:rPr>
              <w:t xml:space="preserve">What remains to be done</w:t>
            </w:r>
          </w:p>
          <w:p>
            <w:pPr>
              <w:spacing w:before="0" w:after="0"/>
              <w:jc w:val="both"/>
            </w:pPr>
            <w:r>
              <w:rPr>
                <w:rFonts w:ascii="Georgia" w:cs="Georgia" w:eastAsia="Georgia" w:hAnsi="Georgia"/>
                <w:color w:val="1A1A1A"/>
                <w:sz w:val="22"/>
                <w:szCs w:val="22"/>
              </w:rPr>
              <w:t xml:space="preserve">The specific accessibility provisions for student governance participation — timing of meetings, asynchronous input mechanisms, translation or language support, and accommodation of caregiving constraints — are not yet specified. Given that OUG's target learners are working adults and caregivers, standard governance meeting formats may systematically exclude them from the governance they are nominally included in. An Accessible Governance Protocol needs to be developed before the first student cohort.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P4  </w:t>
            </w:r>
            <w:r>
              <w:rPr>
                <w:rFonts w:ascii="Arial" w:cs="Arial" w:eastAsia="Arial" w:hAnsi="Arial"/>
                <w:i/>
                <w:iCs/>
                <w:color w:val="8899BB"/>
                <w:sz w:val="17"/>
                <w:szCs w:val="17"/>
              </w:rPr>
              <w:t xml:space="preserve">[Governance]  </w:t>
            </w:r>
            <w:r>
              <w:rPr>
                <w:rFonts w:ascii="Georgia" w:cs="Georgia" w:eastAsia="Georgia" w:hAnsi="Georgia"/>
                <w:b/>
                <w:bCs/>
                <w:color w:val="FFFFFF"/>
                <w:sz w:val="21"/>
                <w:szCs w:val="21"/>
              </w:rPr>
              <w:t xml:space="preserve">Quality assurance must independently verify assessment integrity, not merely declare it</w:t>
            </w:r>
          </w:p>
          <w:p>
            <w:pPr>
              <w:spacing w:before="0" w:after="0"/>
            </w:pPr>
            <w:r>
              <w:rPr>
                <w:rFonts w:ascii="Arial" w:cs="Arial" w:eastAsia="Arial" w:hAnsi="Arial"/>
                <w:i/>
                <w:iCs/>
                <w:color w:val="8899BB"/>
                <w:sz w:val="15"/>
                <w:szCs w:val="15"/>
              </w:rPr>
              <w:t xml:space="preserve">Literature basis: Berkling (in review) — the engagement-gain correlation demonstrates that what is measured matters; a QA system that only counts completions misses the equity-relevant information</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revised Quality Assurance and Academic Governance Framework introduces the Stichprobe: a binding annual independent review of a minimum 5% of all assessed submissions, covering all academic levels and all Mission Hubs, conducted by an independent examiner appointed by the Quality Commission. Findings feed directly into the Annual Academic Quality Report and trigger action mandates where systematic concerns are identified.</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The Stichprobe is structurally well-designed. Its equity value is that it creates an independent check against the most common form of quality drift in distributed educational institutions: assessment standards loosening at the delivery site level without central detection. For OUG's federated model, where teaching is distributed across partner institutions, this independent verification is particularly critical.</w:t>
            </w:r>
          </w:p>
        </w:tc>
      </w:tr>
    </w:tbl>
    <w:p>
      <w:pPr>
        <w:spacing w:before="0" w:after="200"/>
      </w:pPr>
    </w:p>
    <w:p>
      <w:pPr>
        <w:pBdr>
          <w:bottom w:val="single" w:color="CCCCCC" w:sz="2" w:space="1"/>
        </w:pBdr>
        <w:spacing w:before="200" w:after="200"/>
      </w:pPr>
    </w:p>
    <w:p>
      <w:pPr>
        <w:pStyle w:val="Heading2"/>
        <w:spacing w:before="320" w:after="100"/>
      </w:pPr>
      <w:r>
        <w:rPr>
          <w:rFonts w:ascii="Georgia" w:cs="Georgia" w:eastAsia="Georgia" w:hAnsi="Georgia"/>
          <w:b/>
          <w:bCs/>
          <w:color w:val="2E75B6"/>
          <w:sz w:val="25"/>
          <w:szCs w:val="25"/>
        </w:rPr>
        <w:t xml:space="preserve">Domain B: Institutional Framing and Communication</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P5  </w:t>
            </w:r>
            <w:r>
              <w:rPr>
                <w:rFonts w:ascii="Arial" w:cs="Arial" w:eastAsia="Arial" w:hAnsi="Arial"/>
                <w:i/>
                <w:iCs/>
                <w:color w:val="8899BB"/>
                <w:sz w:val="17"/>
                <w:szCs w:val="17"/>
              </w:rPr>
              <w:t xml:space="preserve">[Framing]  </w:t>
            </w:r>
            <w:r>
              <w:rPr>
                <w:rFonts w:ascii="Georgia" w:cs="Georgia" w:eastAsia="Georgia" w:hAnsi="Georgia"/>
                <w:b/>
                <w:bCs/>
                <w:color w:val="FFFFFF"/>
                <w:sz w:val="21"/>
                <w:szCs w:val="21"/>
              </w:rPr>
              <w:t xml:space="preserve">Institutional mission language must frame learners as capable adults in the wrong system, not as deficient individuals needing remediation</w:t>
            </w:r>
          </w:p>
          <w:p>
            <w:pPr>
              <w:spacing w:before="0" w:after="0"/>
            </w:pPr>
            <w:r>
              <w:rPr>
                <w:rFonts w:ascii="Arial" w:cs="Arial" w:eastAsia="Arial" w:hAnsi="Arial"/>
                <w:i/>
                <w:iCs/>
                <w:color w:val="8899BB"/>
                <w:sz w:val="15"/>
                <w:szCs w:val="15"/>
              </w:rPr>
              <w:t xml:space="preserve">Literature basis: Lowery &amp; Wout, 2010 — institutions that frame learners' exclusion as their disadvantage produce disengagement; institutions that frame it as a structural design failure produce engagement</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foundational documents consistently adopt an advantage frame for the institution and a capability frame for learners. The Readers' Guide for Accreditation states explicitly: 'These are not marginal cases. They are the majority of the adult population at any given moment.' The Strategic Positioning document situates the OUG as a public institution designed to fill a structural gap — not a remediation provider for deficient learners. The programme document frames the Bachelor's degree as a designed pathway, not a concession.</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This framing is consistent across the current document stack. The risk is institutional drift: as the OUG grows and encounters external pressure from accreditors, employers, or policy-makers who use deficit framing, the institutional language may gradually shift toward describing its learners as disadvantaged rather than as the audience for which the system was built. Monitoring institutional language as an equity metric — including in external communications, accreditation submissions, and partner documentation — should be an explicit governance responsibility.</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P6  </w:t>
            </w:r>
            <w:r>
              <w:rPr>
                <w:rFonts w:ascii="Arial" w:cs="Arial" w:eastAsia="Arial" w:hAnsi="Arial"/>
                <w:i/>
                <w:iCs/>
                <w:color w:val="8899BB"/>
                <w:sz w:val="17"/>
                <w:szCs w:val="17"/>
              </w:rPr>
              <w:t xml:space="preserve">[Framing]  </w:t>
            </w:r>
            <w:r>
              <w:rPr>
                <w:rFonts w:ascii="Georgia" w:cs="Georgia" w:eastAsia="Georgia" w:hAnsi="Georgia"/>
                <w:b/>
                <w:bCs/>
                <w:color w:val="FFFFFF"/>
                <w:sz w:val="21"/>
                <w:szCs w:val="21"/>
              </w:rPr>
              <w:t xml:space="preserve">How inequality is described in institutional communications shapes whether learners engage or disengage</w:t>
            </w:r>
          </w:p>
          <w:p>
            <w:pPr>
              <w:spacing w:before="0" w:after="0"/>
            </w:pPr>
            <w:r>
              <w:rPr>
                <w:rFonts w:ascii="Arial" w:cs="Arial" w:eastAsia="Arial" w:hAnsi="Arial"/>
                <w:i/>
                <w:iCs/>
                <w:color w:val="8899BB"/>
                <w:sz w:val="15"/>
                <w:szCs w:val="15"/>
              </w:rPr>
              <w:t xml:space="preserve">Literature basis: Lowery et al., 2011; Lowery &amp; Wout, 2010; Malapally et al., 2025</w:t>
            </w:r>
          </w:p>
        </w:tc>
      </w:tr>
      <w:tr>
        <w:tc>
          <w:tcPr>
            <w:tcW w:type="dxa" w:w="9026"/>
            <w:tcBorders>
              <w:top w:val="none"/>
              <w:left w:val="none"/>
              <w:bottom w:val="none"/>
              <w:right w:val="none"/>
            </w:tcBorders>
            <w:shd w:fill="FDF6EC" w:val="clear"/>
            <w:tcMar>
              <w:top w:type="dxa" w:w="70"/>
              <w:left w:type="dxa" w:w="200"/>
              <w:bottom w:type="dxa" w:w="70"/>
              <w:right w:type="dxa" w:w="160"/>
            </w:tcMar>
          </w:tcPr>
          <w:p>
            <w:r>
              <w:rPr>
                <w:rFonts w:ascii="Arial" w:cs="Arial" w:eastAsia="Arial" w:hAnsi="Arial"/>
                <w:b/>
                <w:bCs/>
                <w:caps/>
                <w:color w:val="7A4A00"/>
                <w:sz w:val="16"/>
                <w:szCs w:val="16"/>
              </w:rPr>
              <w:t xml:space="preserve">◑  Partial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strategic positioning documents are consistent in framing its existence as a structural innovation rather than a remediation effort. The three-pillar financial model explicitly names the social pricing rationale (€25/ECTS) as a public good provision, not a discount for disadvantaged students. This is an advantage frame: the institution is designed this way because it is the right design, not because its students cannot afford more.</w:t>
            </w:r>
          </w:p>
        </w:tc>
      </w:tr>
      <w:tr>
        <w:tc>
          <w:tcPr>
            <w:tcW w:type="dxa" w:w="9026"/>
            <w:tcBorders>
              <w:top w:val="none"/>
              <w:left w:val="none"/>
              <w:bottom w:val="none"/>
              <w:right w:val="none"/>
            </w:tcBorders>
            <w:shd w:fill="FDF6EC" w:val="clear"/>
            <w:tcMar>
              <w:top w:type="dxa" w:w="100"/>
              <w:left w:type="dxa" w:w="200"/>
              <w:bottom w:type="dxa" w:w="110"/>
              <w:right w:type="dxa" w:w="160"/>
            </w:tcMar>
          </w:tcPr>
          <w:p>
            <w:pPr>
              <w:spacing w:before="0" w:after="50"/>
            </w:pPr>
            <w:r>
              <w:rPr>
                <w:rFonts w:ascii="Arial" w:cs="Arial" w:eastAsia="Arial" w:hAnsi="Arial"/>
                <w:b/>
                <w:bCs/>
                <w:caps/>
                <w:color w:val="7A4A00"/>
                <w:sz w:val="15"/>
                <w:szCs w:val="15"/>
              </w:rPr>
              <w:t xml:space="preserve">What remains to be done</w:t>
            </w:r>
          </w:p>
          <w:p>
            <w:pPr>
              <w:spacing w:before="0" w:after="0"/>
              <w:jc w:val="both"/>
            </w:pPr>
            <w:r>
              <w:rPr>
                <w:rFonts w:ascii="Georgia" w:cs="Georgia" w:eastAsia="Georgia" w:hAnsi="Georgia"/>
                <w:color w:val="1A1A1A"/>
                <w:sz w:val="22"/>
                <w:szCs w:val="22"/>
              </w:rPr>
              <w:t xml:space="preserve">The challenge is that individual learner communications — welcome messages, progress reports, academic advising interactions — may default to deficit framing even when the institutional narrative does not. A framing guide for student-facing communications, grounded in the Lowery and Wout (2010) findings on engagement, has not been developed. Given the direct empirical connection between framing and academic engagement, this is a meaningful gap.</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P7  </w:t>
            </w:r>
            <w:r>
              <w:rPr>
                <w:rFonts w:ascii="Arial" w:cs="Arial" w:eastAsia="Arial" w:hAnsi="Arial"/>
                <w:i/>
                <w:iCs/>
                <w:color w:val="8899BB"/>
                <w:sz w:val="17"/>
                <w:szCs w:val="17"/>
              </w:rPr>
              <w:t xml:space="preserve">[Framing]  </w:t>
            </w:r>
            <w:r>
              <w:rPr>
                <w:rFonts w:ascii="Georgia" w:cs="Georgia" w:eastAsia="Georgia" w:hAnsi="Georgia"/>
                <w:b/>
                <w:bCs/>
                <w:color w:val="FFFFFF"/>
                <w:sz w:val="21"/>
                <w:szCs w:val="21"/>
              </w:rPr>
              <w:t xml:space="preserve">Progress displays and feedback must foreground achievement, not deficit</w:t>
            </w:r>
          </w:p>
          <w:p>
            <w:pPr>
              <w:spacing w:before="0" w:after="0"/>
            </w:pPr>
            <w:r>
              <w:rPr>
                <w:rFonts w:ascii="Arial" w:cs="Arial" w:eastAsia="Arial" w:hAnsi="Arial"/>
                <w:i/>
                <w:iCs/>
                <w:color w:val="8899BB"/>
                <w:sz w:val="15"/>
                <w:szCs w:val="15"/>
              </w:rPr>
              <w:t xml:space="preserve">Literature basis: Lowery &amp; Wout, 2010 — showing what remains (disadvantage frame) produces different engagement than showing what has been achieved (advantage frame); Berkling (in review) — confidence and engagement interact in ways that make negative progress framing actively harmful</w:t>
            </w:r>
          </w:p>
        </w:tc>
      </w:tr>
      <w:tr>
        <w:tc>
          <w:tcPr>
            <w:tcW w:type="dxa" w:w="9026"/>
            <w:tcBorders>
              <w:top w:val="none"/>
              <w:left w:val="none"/>
              <w:bottom w:val="none"/>
              <w:right w:val="none"/>
            </w:tcBorders>
            <w:shd w:fill="FAF0EE" w:val="clear"/>
            <w:tcMar>
              <w:top w:type="dxa" w:w="70"/>
              <w:left w:type="dxa" w:w="200"/>
              <w:bottom w:type="dxa" w:w="70"/>
              <w:right w:type="dxa" w:w="160"/>
            </w:tcMar>
          </w:tcPr>
          <w:p>
            <w:r>
              <w:rPr>
                <w:rFonts w:ascii="Arial" w:cs="Arial" w:eastAsia="Arial" w:hAnsi="Arial"/>
                <w:b/>
                <w:bCs/>
                <w:caps/>
                <w:color w:val="8B1A1A"/>
                <w:sz w:val="16"/>
                <w:szCs w:val="16"/>
              </w:rPr>
              <w:t xml:space="preserve">○  Gap — Action Needed</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programme document specifies the stacking model: modules accumulate into stacks, stacks into degree eligibility. The credential architecture — Europass digital credentials issued per module — means learners receive positive certification at each step. This is an achievement-forward design.</w:t>
            </w:r>
          </w:p>
        </w:tc>
      </w:tr>
      <w:tr>
        <w:tc>
          <w:tcPr>
            <w:tcW w:type="dxa" w:w="9026"/>
            <w:tcBorders>
              <w:top w:val="none"/>
              <w:left w:val="none"/>
              <w:bottom w:val="none"/>
              <w:right w:val="none"/>
            </w:tcBorders>
            <w:shd w:fill="FAF0EE" w:val="clear"/>
            <w:tcMar>
              <w:top w:type="dxa" w:w="100"/>
              <w:left w:type="dxa" w:w="200"/>
              <w:bottom w:type="dxa" w:w="110"/>
              <w:right w:type="dxa" w:w="160"/>
            </w:tcMar>
          </w:tcPr>
          <w:p>
            <w:pPr>
              <w:spacing w:before="0" w:after="50"/>
            </w:pPr>
            <w:r>
              <w:rPr>
                <w:rFonts w:ascii="Arial" w:cs="Arial" w:eastAsia="Arial" w:hAnsi="Arial"/>
                <w:b/>
                <w:bCs/>
                <w:caps/>
                <w:color w:val="8B1A1A"/>
                <w:sz w:val="15"/>
                <w:szCs w:val="15"/>
              </w:rPr>
              <w:t xml:space="preserve">Gap and required action</w:t>
            </w:r>
          </w:p>
          <w:p>
            <w:pPr>
              <w:spacing w:before="0" w:after="0"/>
              <w:jc w:val="both"/>
            </w:pPr>
            <w:r>
              <w:rPr>
                <w:rFonts w:ascii="Georgia" w:cs="Georgia" w:eastAsia="Georgia" w:hAnsi="Georgia"/>
                <w:color w:val="1A1A1A"/>
                <w:sz w:val="22"/>
                <w:szCs w:val="22"/>
              </w:rPr>
              <w:t xml:space="preserve">The platform-level implementation of progress display has not been specified. Whether the LMS presents 'you have completed 7 modules' or 'you have 30 modules remaining' is a design choice with measurable engagement implications (Lowery &amp; Wout, 2010). The Productive Struggle Paradox (Berkling, in review) also suggests that progress displays showing struggle periods alongside completion rates — rather than hiding difficulty — may be more informative and less demoralising for learners. No UX specification for progress framing currently exists in the OUG document stack.</w:t>
            </w:r>
          </w:p>
        </w:tc>
      </w:tr>
    </w:tbl>
    <w:p>
      <w:pPr>
        <w:spacing w:before="0" w:after="200"/>
      </w:pPr>
    </w:p>
    <w:p>
      <w:pPr>
        <w:pBdr>
          <w:bottom w:val="single" w:color="CCCCCC" w:sz="2" w:space="1"/>
        </w:pBdr>
        <w:spacing w:before="200" w:after="200"/>
      </w:pPr>
    </w:p>
    <w:p>
      <w:pPr>
        <w:pStyle w:val="Heading2"/>
        <w:spacing w:before="320" w:after="100"/>
      </w:pPr>
      <w:r>
        <w:rPr>
          <w:rFonts w:ascii="Georgia" w:cs="Georgia" w:eastAsia="Georgia" w:hAnsi="Georgia"/>
          <w:b/>
          <w:bCs/>
          <w:color w:val="2E75B6"/>
          <w:sz w:val="25"/>
          <w:szCs w:val="25"/>
        </w:rPr>
        <w:t xml:space="preserve">Domain C: Pedagogy and Assessment Design</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P8  </w:t>
            </w:r>
            <w:r>
              <w:rPr>
                <w:rFonts w:ascii="Arial" w:cs="Arial" w:eastAsia="Arial" w:hAnsi="Arial"/>
                <w:i/>
                <w:iCs/>
                <w:color w:val="8899BB"/>
                <w:sz w:val="17"/>
                <w:szCs w:val="17"/>
              </w:rPr>
              <w:t xml:space="preserve">[Pedagogy]  </w:t>
            </w:r>
            <w:r>
              <w:rPr>
                <w:rFonts w:ascii="Georgia" w:cs="Georgia" w:eastAsia="Georgia" w:hAnsi="Georgia"/>
                <w:b/>
                <w:bCs/>
                <w:color w:val="FFFFFF"/>
                <w:sz w:val="21"/>
                <w:szCs w:val="21"/>
              </w:rPr>
              <w:t xml:space="preserve">Learning outcomes must be specific enough to be falsifiable and transparent enough to guide learner effort</w:t>
            </w:r>
          </w:p>
          <w:p>
            <w:pPr>
              <w:spacing w:before="0" w:after="0"/>
            </w:pPr>
            <w:r>
              <w:rPr>
                <w:rFonts w:ascii="Arial" w:cs="Arial" w:eastAsia="Arial" w:hAnsi="Arial"/>
                <w:i/>
                <w:iCs/>
                <w:color w:val="8899BB"/>
                <w:sz w:val="15"/>
                <w:szCs w:val="15"/>
              </w:rPr>
              <w:t xml:space="preserve">Literature basis: Berkling (in review) — the near-perfect engagement-gain correlation (r = 0.958) was only possible because learning outcomes were explicit, specific, and structured into a traceable alignment with tasks</w:t>
            </w:r>
          </w:p>
        </w:tc>
      </w:tr>
      <w:tr>
        <w:tc>
          <w:tcPr>
            <w:tcW w:type="dxa" w:w="9026"/>
            <w:tcBorders>
              <w:top w:val="none"/>
              <w:left w:val="none"/>
              <w:bottom w:val="none"/>
              <w:right w:val="none"/>
            </w:tcBorders>
            <w:shd w:fill="FDF6EC" w:val="clear"/>
            <w:tcMar>
              <w:top w:type="dxa" w:w="70"/>
              <w:left w:type="dxa" w:w="200"/>
              <w:bottom w:type="dxa" w:w="70"/>
              <w:right w:type="dxa" w:w="160"/>
            </w:tcMar>
          </w:tcPr>
          <w:p>
            <w:r>
              <w:rPr>
                <w:rFonts w:ascii="Arial" w:cs="Arial" w:eastAsia="Arial" w:hAnsi="Arial"/>
                <w:b/>
                <w:bCs/>
                <w:caps/>
                <w:color w:val="7A4A00"/>
                <w:sz w:val="16"/>
                <w:szCs w:val="16"/>
              </w:rPr>
              <w:t xml:space="preserve">◑  Partial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Quality Assurance Framework establishes learning outcomes as the primary unit of quality, specifying that they must be discipline-grounded, academically validated, expressed in a way that allows assessment independent of teaching context, and reusable across skill profiles. The B.Sc. CS programme document provides full learning outcome specifications for four modules from the OOAPI v5 feed (T4INF3102, T4INF1003, T4INF3915, T4INF3906) with outcomes expressed across three types: Subject-Specific, Methodological, and Personal/Social.</w:t>
            </w:r>
          </w:p>
        </w:tc>
      </w:tr>
      <w:tr>
        <w:tc>
          <w:tcPr>
            <w:tcW w:type="dxa" w:w="9026"/>
            <w:tcBorders>
              <w:top w:val="none"/>
              <w:left w:val="none"/>
              <w:bottom w:val="none"/>
              <w:right w:val="none"/>
            </w:tcBorders>
            <w:shd w:fill="FDF6EC" w:val="clear"/>
            <w:tcMar>
              <w:top w:type="dxa" w:w="100"/>
              <w:left w:type="dxa" w:w="200"/>
              <w:bottom w:type="dxa" w:w="110"/>
              <w:right w:type="dxa" w:w="160"/>
            </w:tcMar>
          </w:tcPr>
          <w:p>
            <w:pPr>
              <w:spacing w:before="0" w:after="50"/>
            </w:pPr>
            <w:r>
              <w:rPr>
                <w:rFonts w:ascii="Arial" w:cs="Arial" w:eastAsia="Arial" w:hAnsi="Arial"/>
                <w:b/>
                <w:bCs/>
                <w:caps/>
                <w:color w:val="7A4A00"/>
                <w:sz w:val="15"/>
                <w:szCs w:val="15"/>
              </w:rPr>
              <w:t xml:space="preserve">What remains to be done</w:t>
            </w:r>
          </w:p>
          <w:p>
            <w:pPr>
              <w:spacing w:before="0" w:after="0"/>
              <w:jc w:val="both"/>
            </w:pPr>
            <w:r>
              <w:rPr>
                <w:rFonts w:ascii="Georgia" w:cs="Georgia" w:eastAsia="Georgia" w:hAnsi="Georgia"/>
                <w:color w:val="1A1A1A"/>
                <w:sz w:val="22"/>
                <w:szCs w:val="22"/>
              </w:rPr>
              <w:t xml:space="preserve">33 of the 37 modules currently lack complete learning outcome specifications at the level of specificity the QA Framework requires. The empirical connection between outcome specificity and learning gain (Berkling, in review) means this is not an administrative gap — it is a pedagogical equity gap. Learners who cannot see exactly what competent performance looks like cannot regulate their own learning effectively, and it is learners without strong prior academic socialisation who are most disadvantaged by this ambiguity. Completing the full Modulhandbuch is the single highest-priority remaining task in the programme document stack.</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P9  </w:t>
            </w:r>
            <w:r>
              <w:rPr>
                <w:rFonts w:ascii="Arial" w:cs="Arial" w:eastAsia="Arial" w:hAnsi="Arial"/>
                <w:i/>
                <w:iCs/>
                <w:color w:val="8899BB"/>
                <w:sz w:val="17"/>
                <w:szCs w:val="17"/>
              </w:rPr>
              <w:t xml:space="preserve">[Pedagogy]  </w:t>
            </w:r>
            <w:r>
              <w:rPr>
                <w:rFonts w:ascii="Georgia" w:cs="Georgia" w:eastAsia="Georgia" w:hAnsi="Georgia"/>
                <w:b/>
                <w:bCs/>
                <w:color w:val="FFFFFF"/>
                <w:sz w:val="21"/>
                <w:szCs w:val="21"/>
              </w:rPr>
              <w:t xml:space="preserve">Task-based learning, where the task is the assessment, reduces hidden assumptions about prior academic socialisation</w:t>
            </w:r>
          </w:p>
          <w:p>
            <w:pPr>
              <w:spacing w:before="0" w:after="0"/>
            </w:pPr>
            <w:r>
              <w:rPr>
                <w:rFonts w:ascii="Arial" w:cs="Arial" w:eastAsia="Arial" w:hAnsi="Arial"/>
                <w:i/>
                <w:iCs/>
                <w:color w:val="8899BB"/>
                <w:sz w:val="15"/>
                <w:szCs w:val="15"/>
              </w:rPr>
              <w:t xml:space="preserve">Literature basis: Berkling (in review) — TBL produced proportionally higher gains for students with lower prior knowledge (r = 0.568), inverting the typical compounding advantage pattern</w:t>
            </w:r>
          </w:p>
        </w:tc>
      </w:tr>
      <w:tr>
        <w:tc>
          <w:tcPr>
            <w:tcW w:type="dxa" w:w="9026"/>
            <w:tcBorders>
              <w:top w:val="none"/>
              <w:left w:val="none"/>
              <w:bottom w:val="none"/>
              <w:right w:val="none"/>
            </w:tcBorders>
            <w:shd w:fill="FDF6EC" w:val="clear"/>
            <w:tcMar>
              <w:top w:type="dxa" w:w="70"/>
              <w:left w:type="dxa" w:w="200"/>
              <w:bottom w:type="dxa" w:w="70"/>
              <w:right w:type="dxa" w:w="160"/>
            </w:tcMar>
          </w:tcPr>
          <w:p>
            <w:r>
              <w:rPr>
                <w:rFonts w:ascii="Arial" w:cs="Arial" w:eastAsia="Arial" w:hAnsi="Arial"/>
                <w:b/>
                <w:bCs/>
                <w:caps/>
                <w:color w:val="7A4A00"/>
                <w:sz w:val="16"/>
                <w:szCs w:val="16"/>
              </w:rPr>
              <w:t xml:space="preserve">◑  Partial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New Study programme adopted by OUG is described as competency-based, and the OOAPI v5 module specifications include task types (Vorlesung, Übung, Labor, Seminar, Projekt) that are consistent with task-based approaches. The programme document specifies that modules are assessed as standalone micro-credentials — the assessment is aligned to the specific learning outcomes of each module.</w:t>
            </w:r>
          </w:p>
        </w:tc>
      </w:tr>
      <w:tr>
        <w:tc>
          <w:tcPr>
            <w:tcW w:type="dxa" w:w="9026"/>
            <w:tcBorders>
              <w:top w:val="none"/>
              <w:left w:val="none"/>
              <w:bottom w:val="none"/>
              <w:right w:val="none"/>
            </w:tcBorders>
            <w:shd w:fill="FDF6EC" w:val="clear"/>
            <w:tcMar>
              <w:top w:type="dxa" w:w="100"/>
              <w:left w:type="dxa" w:w="200"/>
              <w:bottom w:type="dxa" w:w="110"/>
              <w:right w:type="dxa" w:w="160"/>
            </w:tcMar>
          </w:tcPr>
          <w:p>
            <w:pPr>
              <w:spacing w:before="0" w:after="50"/>
            </w:pPr>
            <w:r>
              <w:rPr>
                <w:rFonts w:ascii="Arial" w:cs="Arial" w:eastAsia="Arial" w:hAnsi="Arial"/>
                <w:b/>
                <w:bCs/>
                <w:caps/>
                <w:color w:val="7A4A00"/>
                <w:sz w:val="15"/>
                <w:szCs w:val="15"/>
              </w:rPr>
              <w:t xml:space="preserve">What remains to be done</w:t>
            </w:r>
          </w:p>
          <w:p>
            <w:pPr>
              <w:spacing w:before="0" w:after="0"/>
              <w:jc w:val="both"/>
            </w:pPr>
            <w:r>
              <w:rPr>
                <w:rFonts w:ascii="Georgia" w:cs="Georgia" w:eastAsia="Georgia" w:hAnsi="Georgia"/>
                <w:color w:val="1A1A1A"/>
                <w:sz w:val="22"/>
                <w:szCs w:val="22"/>
              </w:rPr>
              <w:t xml:space="preserve">The adoption of the DHBW New Study curriculum means OUG has limited direct control over the task design within modules — that is a partner institution responsibility. The key OUG-level design questions are: (a) whether the Prüfungsordnung specifies assessment formats that are genuinely task-based or default to traditional examination formats that encode prior academic socialisation advantages; and (b) whether the module specifications include explicit task alignment documentation of the kind Berkling (in review) identifies as critical for making learning transparent and measurable. Neither question is fully answered in the current document stack.</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P10  </w:t>
            </w:r>
            <w:r>
              <w:rPr>
                <w:rFonts w:ascii="Arial" w:cs="Arial" w:eastAsia="Arial" w:hAnsi="Arial"/>
                <w:i/>
                <w:iCs/>
                <w:color w:val="8899BB"/>
                <w:sz w:val="17"/>
                <w:szCs w:val="17"/>
              </w:rPr>
              <w:t xml:space="preserve">[Pedagogy]  </w:t>
            </w:r>
            <w:r>
              <w:rPr>
                <w:rFonts w:ascii="Georgia" w:cs="Georgia" w:eastAsia="Georgia" w:hAnsi="Georgia"/>
                <w:b/>
                <w:bCs/>
                <w:color w:val="FFFFFF"/>
                <w:sz w:val="21"/>
                <w:szCs w:val="21"/>
              </w:rPr>
              <w:t xml:space="preserve">Productive struggle must be distinguished from unproductive failure, and assessment design must accommodate it</w:t>
            </w:r>
          </w:p>
          <w:p>
            <w:pPr>
              <w:spacing w:before="0" w:after="0"/>
            </w:pPr>
            <w:r>
              <w:rPr>
                <w:rFonts w:ascii="Arial" w:cs="Arial" w:eastAsia="Arial" w:hAnsi="Arial"/>
                <w:i/>
                <w:iCs/>
                <w:color w:val="8899BB"/>
                <w:sz w:val="15"/>
                <w:szCs w:val="15"/>
              </w:rPr>
              <w:t xml:space="preserve">Literature basis: Berkling (in review) — the Productive Struggle Paradox (r = −0.722 between confidence and learning gain when engagement is sustained) shows that struggle is constitutive of learning; traditional assessment systems misclassify struggle as failure</w:t>
            </w:r>
          </w:p>
        </w:tc>
      </w:tr>
      <w:tr>
        <w:tc>
          <w:tcPr>
            <w:tcW w:type="dxa" w:w="9026"/>
            <w:tcBorders>
              <w:top w:val="none"/>
              <w:left w:val="none"/>
              <w:bottom w:val="none"/>
              <w:right w:val="none"/>
            </w:tcBorders>
            <w:shd w:fill="FDF6EC" w:val="clear"/>
            <w:tcMar>
              <w:top w:type="dxa" w:w="70"/>
              <w:left w:type="dxa" w:w="200"/>
              <w:bottom w:type="dxa" w:w="70"/>
              <w:right w:type="dxa" w:w="160"/>
            </w:tcMar>
          </w:tcPr>
          <w:p>
            <w:r>
              <w:rPr>
                <w:rFonts w:ascii="Arial" w:cs="Arial" w:eastAsia="Arial" w:hAnsi="Arial"/>
                <w:b/>
                <w:bCs/>
                <w:caps/>
                <w:color w:val="7A4A00"/>
                <w:sz w:val="16"/>
                <w:szCs w:val="16"/>
              </w:rPr>
              <w:t xml:space="preserve">◑  Partial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Assessment &amp; Recognition Committee is responsible for modular recognition and validation. The QA Framework establishes that assessment methods must be selected to validly and reliably measure defined learning outcomes, with explicit assessment criteria and performance levels. The Capstone Project is evaluated by a multidisciplinary panel, which creates a richer assessment context than single-examiner terminal testing.</w:t>
            </w:r>
          </w:p>
        </w:tc>
      </w:tr>
      <w:tr>
        <w:tc>
          <w:tcPr>
            <w:tcW w:type="dxa" w:w="9026"/>
            <w:tcBorders>
              <w:top w:val="none"/>
              <w:left w:val="none"/>
              <w:bottom w:val="none"/>
              <w:right w:val="none"/>
            </w:tcBorders>
            <w:shd w:fill="FDF6EC" w:val="clear"/>
            <w:tcMar>
              <w:top w:type="dxa" w:w="100"/>
              <w:left w:type="dxa" w:w="200"/>
              <w:bottom w:type="dxa" w:w="110"/>
              <w:right w:type="dxa" w:w="160"/>
            </w:tcMar>
          </w:tcPr>
          <w:p>
            <w:pPr>
              <w:spacing w:before="0" w:after="50"/>
            </w:pPr>
            <w:r>
              <w:rPr>
                <w:rFonts w:ascii="Arial" w:cs="Arial" w:eastAsia="Arial" w:hAnsi="Arial"/>
                <w:b/>
                <w:bCs/>
                <w:caps/>
                <w:color w:val="7A4A00"/>
                <w:sz w:val="15"/>
                <w:szCs w:val="15"/>
              </w:rPr>
              <w:t xml:space="preserve">What remains to be done</w:t>
            </w:r>
          </w:p>
          <w:p>
            <w:pPr>
              <w:spacing w:before="0" w:after="0"/>
              <w:jc w:val="both"/>
            </w:pPr>
            <w:r>
              <w:rPr>
                <w:rFonts w:ascii="Georgia" w:cs="Georgia" w:eastAsia="Georgia" w:hAnsi="Georgia"/>
                <w:color w:val="1A1A1A"/>
                <w:sz w:val="22"/>
                <w:szCs w:val="22"/>
              </w:rPr>
              <w:t xml:space="preserve">No explicit provision for iterative task completion — allowing a student to re-engage with a task after an initial unsuccessful attempt — exists in the current Prüfungsordnung or assessment framework. Given the Berkling (in review) finding that lower confidence with sustained engagement predicts higher outcomes, a system that terminates engagement on first failure misclassifies productive struggle as incompetence. This disproportionately affects learners who have less prior experience with formal assessment contexts. An iterative assessment provision, even if limited (e.g., one re-attempt per module), would align the assessment design with the empirical evidence.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P11  </w:t>
            </w:r>
            <w:r>
              <w:rPr>
                <w:rFonts w:ascii="Arial" w:cs="Arial" w:eastAsia="Arial" w:hAnsi="Arial"/>
                <w:i/>
                <w:iCs/>
                <w:color w:val="8899BB"/>
                <w:sz w:val="17"/>
                <w:szCs w:val="17"/>
              </w:rPr>
              <w:t xml:space="preserve">[Pedagogy]  </w:t>
            </w:r>
            <w:r>
              <w:rPr>
                <w:rFonts w:ascii="Georgia" w:cs="Georgia" w:eastAsia="Georgia" w:hAnsi="Georgia"/>
                <w:b/>
                <w:bCs/>
                <w:color w:val="FFFFFF"/>
                <w:sz w:val="21"/>
                <w:szCs w:val="21"/>
              </w:rPr>
              <w:t xml:space="preserve">Meta-skills must be explicitly targeted in learning outcomes, not assumed as prior knowledge</w:t>
            </w:r>
          </w:p>
          <w:p>
            <w:pPr>
              <w:spacing w:before="0" w:after="0"/>
            </w:pPr>
            <w:r>
              <w:rPr>
                <w:rFonts w:ascii="Arial" w:cs="Arial" w:eastAsia="Arial" w:hAnsi="Arial"/>
                <w:i/>
                <w:iCs/>
                <w:color w:val="8899BB"/>
                <w:sz w:val="15"/>
                <w:szCs w:val="15"/>
              </w:rPr>
              <w:t xml:space="preserve">Literature basis: Berkling (in review) — meta-skills (self-learning, analytical thinking) were as frequently targeted as programming fundamentals and were demonstrably developed through TBL design; Lowery &amp; Wout, 2010 — academic disengagement is a self-regulatory response to perceived inequity, not a fixed trait</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QA Framework explicitly identifies metacognitive skills as a core academic standard, not an optional addition. These include: the ability to reflect on one's own learning, self-regulation and planning of learning processes, critical evaluation of sources and methods, transfer of knowledge across contexts, and responsible use of digital and AI-based tools. The framework specifies that these skills are progressively developed across skill profiles and assessed through appropriate reflective and performance-based methods.</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The explicit inclusion of meta-skills in the academic standards framework is well-grounded in the empirical evidence. Berkling (in review) demonstrates that meta-skills can be deliberately cultivated through task design and are measurable through learning analytics. The OUG's next step is to ensure that the Modulhandbuch, once completed, maps meta-skill learning outcomes with the same specificity as domain-specific outcomes, and that the Stichprobe explicitly samples meta-skill assessments alongside domain assessments.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P12  </w:t>
            </w:r>
            <w:r>
              <w:rPr>
                <w:rFonts w:ascii="Arial" w:cs="Arial" w:eastAsia="Arial" w:hAnsi="Arial"/>
                <w:i/>
                <w:iCs/>
                <w:color w:val="8899BB"/>
                <w:sz w:val="17"/>
                <w:szCs w:val="17"/>
              </w:rPr>
              <w:t xml:space="preserve">[Pedagogy]  </w:t>
            </w:r>
            <w:r>
              <w:rPr>
                <w:rFonts w:ascii="Georgia" w:cs="Georgia" w:eastAsia="Georgia" w:hAnsi="Georgia"/>
                <w:b/>
                <w:bCs/>
                <w:color w:val="FFFFFF"/>
                <w:sz w:val="21"/>
                <w:szCs w:val="21"/>
              </w:rPr>
              <w:t xml:space="preserve">Prior learning recognition must be competency-based, not credential-based</w:t>
            </w:r>
          </w:p>
          <w:p>
            <w:pPr>
              <w:spacing w:before="0" w:after="0"/>
            </w:pPr>
            <w:r>
              <w:rPr>
                <w:rFonts w:ascii="Arial" w:cs="Arial" w:eastAsia="Arial" w:hAnsi="Arial"/>
                <w:i/>
                <w:iCs/>
                <w:color w:val="8899BB"/>
                <w:sz w:val="15"/>
                <w:szCs w:val="15"/>
              </w:rPr>
              <w:t xml:space="preserve">Literature basis: Berkling (in review) — the finding that diverse prior knowledge levels produced proportionally higher gains in TBL contexts implies that what matters is current competence, not the pathway by which it was acquired</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B.Sc. CS programme document specifies that recognition of prior learning is competency-based: 'The question is whether the student can demonstrate the learning outcomes of the module, not whether they hold a certificate.' The Assessment &amp; Recognition Committee is responsible for this process, and recognition routes are integrated into every module, not treated as exceptional cases.</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The principle is correctly established. The operational gap is the specification of how competency-based recognition assessment is conducted for each module — what evidence is accepted, who assesses it, and on what criteria. Given that prior learning recognition is central to OUG's social mission (reaching professionals with experiential learning), this operational detail is mission-critical and needs to be specified in the Prüfungsordnung before the first cohort enrols.</w:t>
            </w:r>
          </w:p>
        </w:tc>
      </w:tr>
    </w:tbl>
    <w:p>
      <w:pPr>
        <w:spacing w:before="0" w:after="200"/>
      </w:pPr>
    </w:p>
    <w:p>
      <w:pPr>
        <w:pBdr>
          <w:bottom w:val="single" w:color="CCCCCC" w:sz="2" w:space="1"/>
        </w:pBdr>
        <w:spacing w:before="200" w:after="200"/>
      </w:pPr>
    </w:p>
    <w:p>
      <w:pPr>
        <w:pStyle w:val="Heading2"/>
        <w:spacing w:before="320" w:after="100"/>
      </w:pPr>
      <w:r>
        <w:rPr>
          <w:rFonts w:ascii="Georgia" w:cs="Georgia" w:eastAsia="Georgia" w:hAnsi="Georgia"/>
          <w:b/>
          <w:bCs/>
          <w:color w:val="2E75B6"/>
          <w:sz w:val="25"/>
          <w:szCs w:val="25"/>
        </w:rPr>
        <w:t xml:space="preserve">Domain D: Platform and Infrastructure Design</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P13  </w:t>
            </w:r>
            <w:r>
              <w:rPr>
                <w:rFonts w:ascii="Arial" w:cs="Arial" w:eastAsia="Arial" w:hAnsi="Arial"/>
                <w:i/>
                <w:iCs/>
                <w:color w:val="8899BB"/>
                <w:sz w:val="17"/>
                <w:szCs w:val="17"/>
              </w:rPr>
              <w:t xml:space="preserve">[Platform]  </w:t>
            </w:r>
            <w:r>
              <w:rPr>
                <w:rFonts w:ascii="Georgia" w:cs="Georgia" w:eastAsia="Georgia" w:hAnsi="Georgia"/>
                <w:b/>
                <w:bCs/>
                <w:color w:val="FFFFFF"/>
                <w:sz w:val="21"/>
                <w:szCs w:val="21"/>
              </w:rPr>
              <w:t xml:space="preserve">Asynchronous-first design is an equity position, not a technological compromise</w:t>
            </w:r>
          </w:p>
          <w:p>
            <w:pPr>
              <w:spacing w:before="0" w:after="0"/>
            </w:pPr>
            <w:r>
              <w:rPr>
                <w:rFonts w:ascii="Arial" w:cs="Arial" w:eastAsia="Arial" w:hAnsi="Arial"/>
                <w:i/>
                <w:iCs/>
                <w:color w:val="8899BB"/>
                <w:sz w:val="15"/>
                <w:szCs w:val="15"/>
              </w:rPr>
              <w:t xml:space="preserve">Literature basis: Lowery &amp; Wout, 2010 — institutional structures that impose synchronous requirements systematically disadvantage learners with caregiving responsibilities and shift work, the same groups that benefit most from advantage framing</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B.Sc. CS programme document specifies the learning mode as 'fully online, modular, asynchronous-first with in-person intensives.' This framing is deliberate and correct: asynchronous is the default, synchronous is by design for specific purposes. The programme document notes that OUG students attend DHBW/partner classes under OUG rules — meaning OUG's Prüfungsordnung governs participation requirements, not DHBW's, providing institutional protection for asynchronous participation rights.</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The protection of asynchronous participation rights through the Prüfungsordnung is the critical mechanism here. If DHBW partner classes operate with synchronous attendance requirements that OUG students must meet, the equity commitment is undermined at the delivery level. The partnership agreement framework must specify explicitly that synchronous attendance cannot be made a grading criterion for OUG students in partner-delivered modules.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P14  </w:t>
            </w:r>
            <w:r>
              <w:rPr>
                <w:rFonts w:ascii="Arial" w:cs="Arial" w:eastAsia="Arial" w:hAnsi="Arial"/>
                <w:i/>
                <w:iCs/>
                <w:color w:val="8899BB"/>
                <w:sz w:val="17"/>
                <w:szCs w:val="17"/>
              </w:rPr>
              <w:t xml:space="preserve">[Platform]  </w:t>
            </w:r>
            <w:r>
              <w:rPr>
                <w:rFonts w:ascii="Georgia" w:cs="Georgia" w:eastAsia="Georgia" w:hAnsi="Georgia"/>
                <w:b/>
                <w:bCs/>
                <w:color w:val="FFFFFF"/>
                <w:sz w:val="21"/>
                <w:szCs w:val="21"/>
              </w:rPr>
              <w:t xml:space="preserve">Credential portability returns ownership to the learner</w:t>
            </w:r>
          </w:p>
          <w:p>
            <w:pPr>
              <w:spacing w:before="0" w:after="0"/>
            </w:pPr>
            <w:r>
              <w:rPr>
                <w:rFonts w:ascii="Arial" w:cs="Arial" w:eastAsia="Arial" w:hAnsi="Arial"/>
                <w:i/>
                <w:iCs/>
                <w:color w:val="8899BB"/>
                <w:sz w:val="15"/>
                <w:szCs w:val="15"/>
              </w:rPr>
              <w:t xml:space="preserve">Literature basis: Malapally et al., 2025 — the framing of credentialling as learner-owned versus institution-owned has equity implications for who controls the evidence of learning</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credential architecture issues a European Digital Credential (Europass EDC) per module upon completion. Credentials are issued to the student's Europass wallet, are machine-readable, tamper-proof, and verifiable by any employer or institution in the EU. The degree, when awarded, aggregates all previous credentials into a single verified record. Students who pause their studies have documented credentials for every completed module.</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This is one of the OUG's most structurally significant equity features. A learner who must pause for caregiving, employment change, or financial reasons does not lose their learning record. Every completed module is independently valuable and independently portable. This design directly addresses one of the most common ways non-traditional learners are disadvantaged: the all-or-nothing degree model that makes partial completion economically worthless.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P15  </w:t>
            </w:r>
            <w:r>
              <w:rPr>
                <w:rFonts w:ascii="Arial" w:cs="Arial" w:eastAsia="Arial" w:hAnsi="Arial"/>
                <w:i/>
                <w:iCs/>
                <w:color w:val="8899BB"/>
                <w:sz w:val="17"/>
                <w:szCs w:val="17"/>
              </w:rPr>
              <w:t xml:space="preserve">[Platform]  </w:t>
            </w:r>
            <w:r>
              <w:rPr>
                <w:rFonts w:ascii="Georgia" w:cs="Georgia" w:eastAsia="Georgia" w:hAnsi="Georgia"/>
                <w:b/>
                <w:bCs/>
                <w:color w:val="FFFFFF"/>
                <w:sz w:val="21"/>
                <w:szCs w:val="21"/>
              </w:rPr>
              <w:t xml:space="preserve">Platform accessibility must be designed for the minimum viable access point of the target learner</w:t>
            </w:r>
          </w:p>
          <w:p>
            <w:pPr>
              <w:spacing w:before="0" w:after="0"/>
            </w:pPr>
            <w:r>
              <w:rPr>
                <w:rFonts w:ascii="Arial" w:cs="Arial" w:eastAsia="Arial" w:hAnsi="Arial"/>
                <w:i/>
                <w:iCs/>
                <w:color w:val="8899BB"/>
                <w:sz w:val="15"/>
                <w:szCs w:val="15"/>
              </w:rPr>
              <w:t xml:space="preserve">Literature basis: Guo &amp; Reinecke, 2014 — demographic differences in MOOC navigation show that platform design encodes assumptions about digital literacy and device access that systematically disadvantage non-traditional learners</w:t>
            </w:r>
          </w:p>
        </w:tc>
      </w:tr>
      <w:tr>
        <w:tc>
          <w:tcPr>
            <w:tcW w:type="dxa" w:w="9026"/>
            <w:tcBorders>
              <w:top w:val="none"/>
              <w:left w:val="none"/>
              <w:bottom w:val="none"/>
              <w:right w:val="none"/>
            </w:tcBorders>
            <w:shd w:fill="FAF0EE" w:val="clear"/>
            <w:tcMar>
              <w:top w:type="dxa" w:w="70"/>
              <w:left w:type="dxa" w:w="200"/>
              <w:bottom w:type="dxa" w:w="70"/>
              <w:right w:type="dxa" w:w="160"/>
            </w:tcMar>
          </w:tcPr>
          <w:p>
            <w:r>
              <w:rPr>
                <w:rFonts w:ascii="Arial" w:cs="Arial" w:eastAsia="Arial" w:hAnsi="Arial"/>
                <w:b/>
                <w:bCs/>
                <w:caps/>
                <w:color w:val="8B1A1A"/>
                <w:sz w:val="16"/>
                <w:szCs w:val="16"/>
              </w:rPr>
              <w:t xml:space="preserve">○  Gap — Action Needed</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platform concept specifies OOAPI v5 compliance and Europass integration. The Governance Architecture references a digital infrastructure requirement. The B.Sc. CS programme document notes accessibility compliance as a platform requirement.</w:t>
            </w:r>
          </w:p>
        </w:tc>
      </w:tr>
      <w:tr>
        <w:tc>
          <w:tcPr>
            <w:tcW w:type="dxa" w:w="9026"/>
            <w:tcBorders>
              <w:top w:val="none"/>
              <w:left w:val="none"/>
              <w:bottom w:val="none"/>
              <w:right w:val="none"/>
            </w:tcBorders>
            <w:shd w:fill="FAF0EE" w:val="clear"/>
            <w:tcMar>
              <w:top w:type="dxa" w:w="100"/>
              <w:left w:type="dxa" w:w="200"/>
              <w:bottom w:type="dxa" w:w="110"/>
              <w:right w:type="dxa" w:w="160"/>
            </w:tcMar>
          </w:tcPr>
          <w:p>
            <w:pPr>
              <w:spacing w:before="0" w:after="50"/>
            </w:pPr>
            <w:r>
              <w:rPr>
                <w:rFonts w:ascii="Arial" w:cs="Arial" w:eastAsia="Arial" w:hAnsi="Arial"/>
                <w:b/>
                <w:bCs/>
                <w:caps/>
                <w:color w:val="8B1A1A"/>
                <w:sz w:val="15"/>
                <w:szCs w:val="15"/>
              </w:rPr>
              <w:t xml:space="preserve">Gap and required action</w:t>
            </w:r>
          </w:p>
          <w:p>
            <w:pPr>
              <w:spacing w:before="0" w:after="0"/>
              <w:jc w:val="both"/>
            </w:pPr>
            <w:r>
              <w:rPr>
                <w:rFonts w:ascii="Georgia" w:cs="Georgia" w:eastAsia="Georgia" w:hAnsi="Georgia"/>
                <w:color w:val="1A1A1A"/>
                <w:sz w:val="22"/>
                <w:szCs w:val="22"/>
              </w:rPr>
              <w:t xml:space="preserve">No platform accessibility specification document currently exists in the OUG document stack. 'Accessibility compliance' — presumably referring to WCAG standards — is necessary but not sufficient. The equity question is whether the platform works on a mid-range smartphone with variable bandwidth, without specialist digital literacy, and without requiring specific browser configurations or software installations. Given that OUG's target learners include people in geographic locations without nearby universities — which correlates with lower average bandwidth and lower average device quality — a specific minimum viable access specification must be developed and tested before platform selection is finalised.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P16  </w:t>
            </w:r>
            <w:r>
              <w:rPr>
                <w:rFonts w:ascii="Arial" w:cs="Arial" w:eastAsia="Arial" w:hAnsi="Arial"/>
                <w:i/>
                <w:iCs/>
                <w:color w:val="8899BB"/>
                <w:sz w:val="17"/>
                <w:szCs w:val="17"/>
              </w:rPr>
              <w:t xml:space="preserve">[Platform]  </w:t>
            </w:r>
            <w:r>
              <w:rPr>
                <w:rFonts w:ascii="Georgia" w:cs="Georgia" w:eastAsia="Georgia" w:hAnsi="Georgia"/>
                <w:b/>
                <w:bCs/>
                <w:color w:val="FFFFFF"/>
                <w:sz w:val="21"/>
                <w:szCs w:val="21"/>
              </w:rPr>
              <w:t xml:space="preserve">Interoperability standards prevent institutional lock-in and protect learner mobility</w:t>
            </w:r>
          </w:p>
          <w:p>
            <w:pPr>
              <w:spacing w:before="0" w:after="0"/>
            </w:pPr>
            <w:r>
              <w:rPr>
                <w:rFonts w:ascii="Arial" w:cs="Arial" w:eastAsia="Arial" w:hAnsi="Arial"/>
                <w:i/>
                <w:iCs/>
                <w:color w:val="8899BB"/>
                <w:sz w:val="15"/>
                <w:szCs w:val="15"/>
              </w:rPr>
              <w:t xml:space="preserve">Literature basis: Malapally et al., 2025 — proprietary credentialling systems reproduce institutional power asymmetries in the same way that proprietary data systems reproduce information asymmetries</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programme and infrastructure design is built on open standards throughout: OOAPI v5 for course data interoperability, European Learning Model (ELM) for credential structure, ECTS for credit recognition, Europass for credential issuance, and ESCO for competency mapping. No proprietary credentialling or learning record system is specified.</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The open standards commitment is consistent and principled. The implementation risk is procurement: when specific platform vendors are selected, contractual terms must explicitly protect open standards compliance and prohibit data lock-in practices. A platform procurement policy specifying interoperability requirements as non-negotiable contract conditions has not yet been developed.</w:t>
            </w:r>
          </w:p>
        </w:tc>
      </w:tr>
    </w:tbl>
    <w:p>
      <w:pPr>
        <w:spacing w:before="0" w:after="200"/>
      </w:pPr>
    </w:p>
    <w:p>
      <w:pPr>
        <w:pBdr>
          <w:bottom w:val="single" w:color="CCCCCC" w:sz="2" w:space="1"/>
        </w:pBdr>
        <w:spacing w:before="200" w:after="200"/>
      </w:pPr>
    </w:p>
    <w:p>
      <w:pPr>
        <w:pStyle w:val="Heading2"/>
        <w:spacing w:before="320" w:after="100"/>
      </w:pPr>
      <w:r>
        <w:rPr>
          <w:rFonts w:ascii="Georgia" w:cs="Georgia" w:eastAsia="Georgia" w:hAnsi="Georgia"/>
          <w:b/>
          <w:bCs/>
          <w:color w:val="2E75B6"/>
          <w:sz w:val="25"/>
          <w:szCs w:val="25"/>
        </w:rPr>
        <w:t xml:space="preserve">Domain E: Credential Architecture and Learning Pathways</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P17  </w:t>
            </w:r>
            <w:r>
              <w:rPr>
                <w:rFonts w:ascii="Arial" w:cs="Arial" w:eastAsia="Arial" w:hAnsi="Arial"/>
                <w:i/>
                <w:iCs/>
                <w:color w:val="8899BB"/>
                <w:sz w:val="17"/>
                <w:szCs w:val="17"/>
              </w:rPr>
              <w:t xml:space="preserve">[Credential]  </w:t>
            </w:r>
            <w:r>
              <w:rPr>
                <w:rFonts w:ascii="Georgia" w:cs="Georgia" w:eastAsia="Georgia" w:hAnsi="Georgia"/>
                <w:b/>
                <w:bCs/>
                <w:color w:val="FFFFFF"/>
                <w:sz w:val="21"/>
                <w:szCs w:val="21"/>
              </w:rPr>
              <w:t xml:space="preserve">The stackable credential model makes partial completion economically meaningful</w:t>
            </w:r>
          </w:p>
          <w:p>
            <w:pPr>
              <w:spacing w:before="0" w:after="0"/>
            </w:pPr>
            <w:r>
              <w:rPr>
                <w:rFonts w:ascii="Arial" w:cs="Arial" w:eastAsia="Arial" w:hAnsi="Arial"/>
                <w:i/>
                <w:iCs/>
                <w:color w:val="8899BB"/>
                <w:sz w:val="15"/>
                <w:szCs w:val="15"/>
              </w:rPr>
              <w:t xml:space="preserve">Literature basis: Berkling (in review) — the engagement-gain correlation implies that each task-based learning unit produces durable competence; a credential architecture that certifies only the degree endpoint discards evidence of genuine competence development at each step</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stacking model — module (5 ECTS micro-credential) → stream stack (certificates) → Bachelor's degree — ensures that every level of completion has independent credential value. A professional who completes the AI Stack receives a documented, verifiable qualification even without completing the full Bachelor's degree. The threshold model (120 ECTS across 4+ streams unlocks Capstone; all 150 ECTS plus Capstone unlocks Thesis) creates structured intermediate goals rather than a single distant endpoint.</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Berkling (in review) makes a specific and important argument for the OUG's credential model: the engagement pathway should be certified alongside the outcome, not only the outcome. A learner who completed 30 modules through sustained productive struggle over three years has demonstrably different competence than one who crammed for a portfolio assessment in three months, even if they hold the same micro-credentials. A pathway certification layer — available as a premium option — that documents the engagement record alongside the outcome credential would be a significant innovation in the micro-credential field.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P18  </w:t>
            </w:r>
            <w:r>
              <w:rPr>
                <w:rFonts w:ascii="Arial" w:cs="Arial" w:eastAsia="Arial" w:hAnsi="Arial"/>
                <w:i/>
                <w:iCs/>
                <w:color w:val="8899BB"/>
                <w:sz w:val="17"/>
                <w:szCs w:val="17"/>
              </w:rPr>
              <w:t xml:space="preserve">[Credential]  </w:t>
            </w:r>
            <w:r>
              <w:rPr>
                <w:rFonts w:ascii="Georgia" w:cs="Georgia" w:eastAsia="Georgia" w:hAnsi="Georgia"/>
                <w:b/>
                <w:bCs/>
                <w:color w:val="FFFFFF"/>
                <w:sz w:val="21"/>
                <w:szCs w:val="21"/>
              </w:rPr>
              <w:t xml:space="preserve">Competency mapping to recognised frameworks enables labour market legibility for non-traditional credentials</w:t>
            </w:r>
          </w:p>
          <w:p>
            <w:pPr>
              <w:spacing w:before="0" w:after="0"/>
            </w:pPr>
            <w:r>
              <w:rPr>
                <w:rFonts w:ascii="Arial" w:cs="Arial" w:eastAsia="Arial" w:hAnsi="Arial"/>
                <w:i/>
                <w:iCs/>
                <w:color w:val="8899BB"/>
                <w:sz w:val="15"/>
                <w:szCs w:val="15"/>
              </w:rPr>
              <w:t xml:space="preserve">Literature basis: Malapally et al., 2025 — the framing of competence through recognised taxonomies shifts the evaluative frame from 'did you attend this institution?' to 'can you do these things?', an advantage frame for non-traditional learners</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Every OUG module specification maps learning outcomes to ESCO competency taxonomies, enabling skills-based transparency for employers and other institutions. The Europass credential contains not only the module title and grade but the specific learning outcomes achieved and the assessment method used. The competency architecture uses eleven domains (PROG, SOFT, NETW, DATA, AI, METH, ETHI, UXHI, COMM, RESE, PERS) providing a coherent language for employer communication.</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The ESCO mapping is complete at the programme level but incomplete at the module level in the current document stack — only four modules have full ESCO-aligned competency specifications. Completing this mapping is a prerequisite for the labour market legibility the OUG's mission depends on. Without it, the credential is verifiable but not fully interpretable by employers.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P19  </w:t>
            </w:r>
            <w:r>
              <w:rPr>
                <w:rFonts w:ascii="Arial" w:cs="Arial" w:eastAsia="Arial" w:hAnsi="Arial"/>
                <w:i/>
                <w:iCs/>
                <w:color w:val="8899BB"/>
                <w:sz w:val="17"/>
                <w:szCs w:val="17"/>
              </w:rPr>
              <w:t xml:space="preserve">[Credential]  </w:t>
            </w:r>
            <w:r>
              <w:rPr>
                <w:rFonts w:ascii="Georgia" w:cs="Georgia" w:eastAsia="Georgia" w:hAnsi="Georgia"/>
                <w:b/>
                <w:bCs/>
                <w:color w:val="FFFFFF"/>
                <w:sz w:val="21"/>
                <w:szCs w:val="21"/>
              </w:rPr>
              <w:t xml:space="preserve">Assessment independence must be structurally guaranteed, not assumed</w:t>
            </w:r>
          </w:p>
          <w:p>
            <w:pPr>
              <w:spacing w:before="0" w:after="0"/>
            </w:pPr>
            <w:r>
              <w:rPr>
                <w:rFonts w:ascii="Arial" w:cs="Arial" w:eastAsia="Arial" w:hAnsi="Arial"/>
                <w:i/>
                <w:iCs/>
                <w:color w:val="8899BB"/>
                <w:sz w:val="15"/>
                <w:szCs w:val="15"/>
              </w:rPr>
              <w:t xml:space="preserve">Literature basis: Berkling (in review) — the study's finding that engagement predicts outcomes only holds if the assessment is measuring actual competence; assessment captured by the instructor who taught the module is a validity threat</w:t>
            </w:r>
          </w:p>
        </w:tc>
      </w:tr>
      <w:tr>
        <w:tc>
          <w:tcPr>
            <w:tcW w:type="dxa" w:w="9026"/>
            <w:tcBorders>
              <w:top w:val="none"/>
              <w:left w:val="none"/>
              <w:bottom w:val="none"/>
              <w:right w:val="none"/>
            </w:tcBorders>
            <w:shd w:fill="EAF5EE" w:val="clear"/>
            <w:tcMar>
              <w:top w:type="dxa" w:w="70"/>
              <w:left w:type="dxa" w:w="200"/>
              <w:bottom w:type="dxa" w:w="70"/>
              <w:right w:type="dxa" w:w="160"/>
            </w:tcMar>
          </w:tcPr>
          <w:p>
            <w:r>
              <w:rPr>
                <w:rFonts w:ascii="Arial" w:cs="Arial" w:eastAsia="Arial" w:hAnsi="Arial"/>
                <w:b/>
                <w:bCs/>
                <w:caps/>
                <w:color w:val="1A5C38"/>
                <w:sz w:val="16"/>
                <w:szCs w:val="16"/>
              </w:rPr>
              <w:t xml:space="preserve">●  Strong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QA Framework specifies the separation of teaching and assessment as a core principle: assessment criteria are defined independently of teaching formats, assessors are academically qualified and operate under defined standards, assessment decisions are evidence-based and auditable. The Stichprobe provides annual independent verification that this separation is actual in practice. The doctoral examination model requires an external examiner plus an independent chair, with the supervisory team excluded from the examination.</w:t>
            </w:r>
          </w:p>
        </w:tc>
      </w:tr>
      <w:tr>
        <w:tc>
          <w:tcPr>
            <w:tcW w:type="dxa" w:w="9026"/>
            <w:tcBorders>
              <w:top w:val="none"/>
              <w:left w:val="none"/>
              <w:bottom w:val="none"/>
              <w:right w:val="none"/>
            </w:tcBorders>
            <w:shd w:fill="EAF5EE" w:val="clear"/>
            <w:tcMar>
              <w:top w:type="dxa" w:w="100"/>
              <w:left w:type="dxa" w:w="200"/>
              <w:bottom w:type="dxa" w:w="110"/>
              <w:right w:type="dxa" w:w="160"/>
            </w:tcMar>
          </w:tcPr>
          <w:p>
            <w:pPr>
              <w:spacing w:before="0" w:after="50"/>
            </w:pPr>
            <w:r>
              <w:rPr>
                <w:rFonts w:ascii="Arial" w:cs="Arial" w:eastAsia="Arial" w:hAnsi="Arial"/>
                <w:b/>
                <w:bCs/>
                <w:caps/>
                <w:color w:val="1A5C38"/>
                <w:sz w:val="15"/>
                <w:szCs w:val="15"/>
              </w:rPr>
              <w:t xml:space="preserve">Why it holds</w:t>
            </w:r>
          </w:p>
          <w:p>
            <w:pPr>
              <w:spacing w:before="0" w:after="0"/>
              <w:jc w:val="both"/>
            </w:pPr>
            <w:r>
              <w:rPr>
                <w:rFonts w:ascii="Georgia" w:cs="Georgia" w:eastAsia="Georgia" w:hAnsi="Georgia"/>
                <w:color w:val="1A1A1A"/>
                <w:sz w:val="22"/>
                <w:szCs w:val="22"/>
              </w:rPr>
              <w:t xml:space="preserve">Assessment independence is structurally designed at the QA level and procedurally specified for doctoral work. Module-level assessment independence for the 37 undergraduate modules — specifically, whether DHBW partner faculty who teach modules also assess them, and what the OUG's contractual authority is to require independent assessment — needs to be explicitly addressed in the partnership agreement framework.</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pPr>
              <w:spacing w:before="0" w:after="40"/>
            </w:pPr>
            <w:r>
              <w:rPr>
                <w:rFonts w:ascii="Arial" w:cs="Arial" w:eastAsia="Arial" w:hAnsi="Arial"/>
                <w:b/>
                <w:bCs/>
                <w:color w:val="2E75B6"/>
                <w:sz w:val="18"/>
                <w:szCs w:val="18"/>
              </w:rPr>
              <w:t xml:space="preserve">P20  </w:t>
            </w:r>
            <w:r>
              <w:rPr>
                <w:rFonts w:ascii="Arial" w:cs="Arial" w:eastAsia="Arial" w:hAnsi="Arial"/>
                <w:i/>
                <w:iCs/>
                <w:color w:val="8899BB"/>
                <w:sz w:val="17"/>
                <w:szCs w:val="17"/>
              </w:rPr>
              <w:t xml:space="preserve">[Credential]  </w:t>
            </w:r>
            <w:r>
              <w:rPr>
                <w:rFonts w:ascii="Georgia" w:cs="Georgia" w:eastAsia="Georgia" w:hAnsi="Georgia"/>
                <w:b/>
                <w:bCs/>
                <w:color w:val="FFFFFF"/>
                <w:sz w:val="21"/>
                <w:szCs w:val="21"/>
              </w:rPr>
              <w:t xml:space="preserve">The credential must distinguish genuine competence from surface performance</w:t>
            </w:r>
          </w:p>
          <w:p>
            <w:pPr>
              <w:spacing w:before="0" w:after="0"/>
            </w:pPr>
            <w:r>
              <w:rPr>
                <w:rFonts w:ascii="Arial" w:cs="Arial" w:eastAsia="Arial" w:hAnsi="Arial"/>
                <w:i/>
                <w:iCs/>
                <w:color w:val="8899BB"/>
                <w:sz w:val="15"/>
                <w:szCs w:val="15"/>
              </w:rPr>
              <w:t xml:space="preserve">Literature basis: Berkling (in review) — the central argument: 'certifying only the endpoint discards the very evidence that distinguishes genuine competence from surface performance'; the engagement-gain correlation (r = 0.958) shows that the path is constitutive of the skill, not incidental to it</w:t>
            </w:r>
          </w:p>
        </w:tc>
      </w:tr>
      <w:tr>
        <w:tc>
          <w:tcPr>
            <w:tcW w:type="dxa" w:w="9026"/>
            <w:tcBorders>
              <w:top w:val="none"/>
              <w:left w:val="none"/>
              <w:bottom w:val="none"/>
              <w:right w:val="none"/>
            </w:tcBorders>
            <w:shd w:fill="FDF6EC" w:val="clear"/>
            <w:tcMar>
              <w:top w:type="dxa" w:w="70"/>
              <w:left w:type="dxa" w:w="200"/>
              <w:bottom w:type="dxa" w:w="70"/>
              <w:right w:type="dxa" w:w="160"/>
            </w:tcMar>
          </w:tcPr>
          <w:p>
            <w:r>
              <w:rPr>
                <w:rFonts w:ascii="Arial" w:cs="Arial" w:eastAsia="Arial" w:hAnsi="Arial"/>
                <w:b/>
                <w:bCs/>
                <w:caps/>
                <w:color w:val="7A4A00"/>
                <w:sz w:val="16"/>
                <w:szCs w:val="16"/>
              </w:rPr>
              <w:t xml:space="preserve">◑  Partial Alignment</w:t>
            </w:r>
          </w:p>
        </w:tc>
      </w:tr>
      <w:tr>
        <w:tc>
          <w:tcPr>
            <w:tcW w:type="dxa" w:w="9026"/>
            <w:tcBorders>
              <w:top w:val="none"/>
              <w:left w:val="none"/>
              <w:bottom w:val="none"/>
              <w:right w:val="none"/>
            </w:tcBorders>
            <w:shd w:fill="FFFFFF" w:val="clear"/>
            <w:tcMar>
              <w:top w:type="dxa" w:w="110"/>
              <w:left w:type="dxa" w:w="200"/>
              <w:bottom w:type="dxa" w:w="100"/>
              <w:right w:type="dxa" w:w="160"/>
            </w:tcMar>
          </w:tcPr>
          <w:p>
            <w:pPr>
              <w:spacing w:before="0" w:after="50"/>
            </w:pPr>
            <w:r>
              <w:rPr>
                <w:rFonts w:ascii="Arial" w:cs="Arial" w:eastAsia="Arial" w:hAnsi="Arial"/>
                <w:b/>
                <w:bCs/>
                <w:caps/>
                <w:color w:val="2E75B6"/>
                <w:sz w:val="15"/>
                <w:szCs w:val="15"/>
              </w:rPr>
              <w:t xml:space="preserve">OUG Design Response</w:t>
            </w:r>
          </w:p>
          <w:p>
            <w:pPr>
              <w:spacing w:before="0" w:after="0"/>
              <w:jc w:val="both"/>
            </w:pPr>
            <w:r>
              <w:rPr>
                <w:rFonts w:ascii="Georgia" w:cs="Georgia" w:eastAsia="Georgia" w:hAnsi="Georgia"/>
                <w:color w:val="1A1A1A"/>
                <w:sz w:val="22"/>
                <w:szCs w:val="22"/>
              </w:rPr>
              <w:t xml:space="preserve">The OUG's quality assurance framework establishes that assessment methods must validly and reliably measure defined learning outcomes, with multiple assessment formats available (examinations, projects, portfolios, demonstrations, reflective artefacts). The Capstone Project evaluation by a multidisciplinary panel provides the richest assessment context, requiring integrative demonstration of competence across streams.</w:t>
            </w:r>
          </w:p>
        </w:tc>
      </w:tr>
      <w:tr>
        <w:tc>
          <w:tcPr>
            <w:tcW w:type="dxa" w:w="9026"/>
            <w:tcBorders>
              <w:top w:val="none"/>
              <w:left w:val="none"/>
              <w:bottom w:val="none"/>
              <w:right w:val="none"/>
            </w:tcBorders>
            <w:shd w:fill="FDF6EC" w:val="clear"/>
            <w:tcMar>
              <w:top w:type="dxa" w:w="100"/>
              <w:left w:type="dxa" w:w="200"/>
              <w:bottom w:type="dxa" w:w="110"/>
              <w:right w:type="dxa" w:w="160"/>
            </w:tcMar>
          </w:tcPr>
          <w:p>
            <w:pPr>
              <w:spacing w:before="0" w:after="50"/>
            </w:pPr>
            <w:r>
              <w:rPr>
                <w:rFonts w:ascii="Arial" w:cs="Arial" w:eastAsia="Arial" w:hAnsi="Arial"/>
                <w:b/>
                <w:bCs/>
                <w:caps/>
                <w:color w:val="7A4A00"/>
                <w:sz w:val="15"/>
                <w:szCs w:val="15"/>
              </w:rPr>
              <w:t xml:space="preserve">What remains to be done</w:t>
            </w:r>
          </w:p>
          <w:p>
            <w:pPr>
              <w:spacing w:before="0" w:after="0"/>
              <w:jc w:val="both"/>
            </w:pPr>
            <w:r>
              <w:rPr>
                <w:rFonts w:ascii="Georgia" w:cs="Georgia" w:eastAsia="Georgia" w:hAnsi="Georgia"/>
                <w:color w:val="1A1A1A"/>
                <w:sz w:val="22"/>
                <w:szCs w:val="22"/>
              </w:rPr>
              <w:t xml:space="preserve">The module-level assessment design — the specific formats used for each of the 37 modules — is not specified in the current document stack. The risk is that assessment defaults to traditional examination formats that measure recall rather than demonstrated competence. Berkling (in review) makes the case that a tiered credential — one level certifying the skill demonstrated, a higher level certifying the skill plus a verified pathway of engagement — would be a significant innovation. The OUG's digital credential infrastructure could technically support this; the policy decision to implement it has not been made.</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III.  Summary Assessment and Priority Actions</w:t>
      </w:r>
    </w:p>
    <w:p>
      <w:pPr>
        <w:pStyle w:val="Heading2"/>
        <w:spacing w:before="320" w:after="100"/>
      </w:pPr>
      <w:r>
        <w:rPr>
          <w:rFonts w:ascii="Georgia" w:cs="Georgia" w:eastAsia="Georgia" w:hAnsi="Georgia"/>
          <w:b/>
          <w:bCs/>
          <w:color w:val="2E75B6"/>
          <w:sz w:val="25"/>
          <w:szCs w:val="25"/>
        </w:rPr>
        <w:t xml:space="preserve">3.1  Scorecard</w:t>
      </w:r>
    </w:p>
    <w:p>
      <w:pPr>
        <w:spacing w:before="0" w:after="185"/>
        <w:ind/>
        <w:jc w:val="both"/>
      </w:pPr>
      <w:r>
        <w:rPr>
          <w:rFonts w:ascii="Georgia" w:cs="Georgia" w:eastAsia="Georgia" w:hAnsi="Georgia"/>
          <w:b w:val="false"/>
          <w:bCs w:val="false"/>
          <w:i w:val="false"/>
          <w:iCs w:val="false"/>
          <w:color w:val="1A1A1A"/>
          <w:sz w:val="23"/>
          <w:szCs w:val="23"/>
        </w:rPr>
        <w:t xml:space="preserve">Across twenty principles in five domains, the OUG's current design demonstrates the following alignment:</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3426"/>
      </w:tblGrid>
      <w:tr>
        <w:tc>
          <w:tcPr>
            <w:tcW w:type="dxa" w:w="20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Domain</w:t>
            </w:r>
          </w:p>
        </w:tc>
        <w:tc>
          <w:tcPr>
            <w:tcW w:type="dxa" w:w="9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Principles</w:t>
            </w:r>
          </w:p>
        </w:tc>
        <w:tc>
          <w:tcPr>
            <w:tcW w:type="dxa" w:w="9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Strong</w:t>
            </w:r>
          </w:p>
        </w:tc>
        <w:tc>
          <w:tcPr>
            <w:tcW w:type="dxa" w:w="9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Partial</w:t>
            </w:r>
          </w:p>
        </w:tc>
        <w:tc>
          <w:tcPr>
            <w:tcW w:type="dxa" w:w="9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Gap</w:t>
            </w:r>
          </w:p>
        </w:tc>
        <w:tc>
          <w:tcPr>
            <w:tcW w:type="dxa" w:w="3426"/>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Key Note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F3864"/>
                <w:sz w:val="18"/>
                <w:szCs w:val="18"/>
              </w:rPr>
              <w:t xml:space="preserve">Governance</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1A1A"/>
                <w:sz w:val="18"/>
                <w:szCs w:val="18"/>
              </w:rPr>
              <w:t xml:space="preserve">4</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5C38"/>
                <w:sz w:val="18"/>
                <w:szCs w:val="18"/>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7A4A00"/>
                <w:sz w:val="18"/>
                <w:szCs w:val="18"/>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8B1A1A"/>
                <w:sz w:val="18"/>
                <w:szCs w:val="18"/>
              </w:rPr>
              <w:t xml:space="preserve">0</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b w:val="false"/>
                <w:bCs w:val="false"/>
                <w:color w:val="1A1A1A"/>
                <w:sz w:val="19"/>
                <w:szCs w:val="19"/>
              </w:rPr>
              <w:t xml:space="preserve">Constitutional structures are strong; accessibility and participation format need specification.</w:t>
            </w:r>
          </w:p>
        </w:tc>
      </w:tr>
      <w:tr>
        <w:tc>
          <w:tcPr>
            <w:tcW w:type="dxa" w:w="2000"/>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r>
              <w:rPr>
                <w:rFonts w:ascii="Arial" w:cs="Arial" w:eastAsia="Arial" w:hAnsi="Arial"/>
                <w:b/>
                <w:bCs/>
                <w:color w:val="1F3864"/>
                <w:sz w:val="18"/>
                <w:szCs w:val="18"/>
              </w:rPr>
              <w:t xml:space="preserve">Framing</w:t>
            </w:r>
          </w:p>
        </w:tc>
        <w:tc>
          <w:tcPr>
            <w:tcW w:type="dxa" w:w="900"/>
            <w:tcBorders>
              <w:top w:val="single" w:color="DDDDDD" w:sz="1"/>
              <w:left w:val="single" w:color="DDDDDD" w:sz="1"/>
              <w:bottom w:val="single" w:color="DDDDDD" w:sz="1"/>
              <w:right w:val="single" w:color="DDDDDD" w:sz="1"/>
            </w:tcBorders>
            <w:shd w:fill="F4F7FA" w:val="clear"/>
            <w:tcMar>
              <w:top w:type="dxa" w:w="80"/>
              <w:left w:type="dxa" w:w="80"/>
              <w:bottom w:type="dxa" w:w="80"/>
              <w:right w:type="dxa" w:w="80"/>
            </w:tcMar>
          </w:tcPr>
          <w:p>
            <w:pPr>
              <w:jc w:val="center"/>
            </w:pPr>
            <w:r>
              <w:rPr>
                <w:rFonts w:ascii="Arial" w:cs="Arial" w:eastAsia="Arial" w:hAnsi="Arial"/>
                <w:b/>
                <w:bCs/>
                <w:color w:val="1A1A1A"/>
                <w:sz w:val="18"/>
                <w:szCs w:val="18"/>
              </w:rPr>
              <w:t xml:space="preserve">3</w:t>
            </w:r>
          </w:p>
        </w:tc>
        <w:tc>
          <w:tcPr>
            <w:tcW w:type="dxa" w:w="900"/>
            <w:tcBorders>
              <w:top w:val="single" w:color="DDDDDD" w:sz="1"/>
              <w:left w:val="single" w:color="DDDDDD" w:sz="1"/>
              <w:bottom w:val="single" w:color="DDDDDD" w:sz="1"/>
              <w:right w:val="single" w:color="DDDDDD" w:sz="1"/>
            </w:tcBorders>
            <w:shd w:fill="F4F7FA" w:val="clear"/>
            <w:tcMar>
              <w:top w:type="dxa" w:w="80"/>
              <w:left w:type="dxa" w:w="80"/>
              <w:bottom w:type="dxa" w:w="80"/>
              <w:right w:type="dxa" w:w="80"/>
            </w:tcMar>
          </w:tcPr>
          <w:p>
            <w:pPr>
              <w:jc w:val="center"/>
            </w:pPr>
            <w:r>
              <w:rPr>
                <w:rFonts w:ascii="Arial" w:cs="Arial" w:eastAsia="Arial" w:hAnsi="Arial"/>
                <w:b/>
                <w:bCs/>
                <w:color w:val="1A5C38"/>
                <w:sz w:val="18"/>
                <w:szCs w:val="18"/>
              </w:rPr>
              <w:t xml:space="preserve">2</w:t>
            </w:r>
          </w:p>
        </w:tc>
        <w:tc>
          <w:tcPr>
            <w:tcW w:type="dxa" w:w="900"/>
            <w:tcBorders>
              <w:top w:val="single" w:color="DDDDDD" w:sz="1"/>
              <w:left w:val="single" w:color="DDDDDD" w:sz="1"/>
              <w:bottom w:val="single" w:color="DDDDDD" w:sz="1"/>
              <w:right w:val="single" w:color="DDDDDD" w:sz="1"/>
            </w:tcBorders>
            <w:shd w:fill="F4F7FA" w:val="clear"/>
            <w:tcMar>
              <w:top w:type="dxa" w:w="80"/>
              <w:left w:type="dxa" w:w="80"/>
              <w:bottom w:type="dxa" w:w="80"/>
              <w:right w:type="dxa" w:w="80"/>
            </w:tcMar>
          </w:tcPr>
          <w:p>
            <w:pPr>
              <w:jc w:val="center"/>
            </w:pPr>
            <w:r>
              <w:rPr>
                <w:rFonts w:ascii="Arial" w:cs="Arial" w:eastAsia="Arial" w:hAnsi="Arial"/>
                <w:b/>
                <w:bCs/>
                <w:color w:val="7A4A00"/>
                <w:sz w:val="18"/>
                <w:szCs w:val="18"/>
              </w:rPr>
              <w:t xml:space="preserve">1</w:t>
            </w:r>
          </w:p>
        </w:tc>
        <w:tc>
          <w:tcPr>
            <w:tcW w:type="dxa" w:w="900"/>
            <w:tcBorders>
              <w:top w:val="single" w:color="DDDDDD" w:sz="1"/>
              <w:left w:val="single" w:color="DDDDDD" w:sz="1"/>
              <w:bottom w:val="single" w:color="DDDDDD" w:sz="1"/>
              <w:right w:val="single" w:color="DDDDDD" w:sz="1"/>
            </w:tcBorders>
            <w:shd w:fill="F4F7FA" w:val="clear"/>
            <w:tcMar>
              <w:top w:type="dxa" w:w="80"/>
              <w:left w:type="dxa" w:w="80"/>
              <w:bottom w:type="dxa" w:w="80"/>
              <w:right w:type="dxa" w:w="80"/>
            </w:tcMar>
          </w:tcPr>
          <w:p>
            <w:pPr>
              <w:jc w:val="center"/>
            </w:pPr>
            <w:r>
              <w:rPr>
                <w:rFonts w:ascii="Arial" w:cs="Arial" w:eastAsia="Arial" w:hAnsi="Arial"/>
                <w:b/>
                <w:bCs/>
                <w:color w:val="8B1A1A"/>
                <w:sz w:val="18"/>
                <w:szCs w:val="18"/>
              </w:rPr>
              <w:t xml:space="preserve">0</w:t>
            </w:r>
          </w:p>
        </w:tc>
        <w:tc>
          <w:tcPr>
            <w:tcW w:type="dxa" w:w="3426"/>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pPr>
              <w:jc w:val="both"/>
            </w:pPr>
            <w:r>
              <w:rPr>
                <w:rFonts w:ascii="Georgia" w:cs="Georgia" w:eastAsia="Georgia" w:hAnsi="Georgia"/>
                <w:b w:val="false"/>
                <w:bCs w:val="false"/>
                <w:color w:val="1A1A1A"/>
                <w:sz w:val="19"/>
                <w:szCs w:val="19"/>
              </w:rPr>
              <w:t xml:space="preserve">Mission language is consistently advantage-framed; student-facing communications unaddressed.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F3864"/>
                <w:sz w:val="18"/>
                <w:szCs w:val="18"/>
              </w:rPr>
              <w:t xml:space="preserve">Pedagogy</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1A1A"/>
                <w:sz w:val="18"/>
                <w:szCs w:val="18"/>
              </w:rPr>
              <w:t xml:space="preserve">5</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5C38"/>
                <w:sz w:val="18"/>
                <w:szCs w:val="18"/>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7A4A00"/>
                <w:sz w:val="18"/>
                <w:szCs w:val="18"/>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8B1A1A"/>
                <w:sz w:val="18"/>
                <w:szCs w:val="18"/>
              </w:rPr>
              <w:t xml:space="preserve">0</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b w:val="false"/>
                <w:bCs w:val="false"/>
                <w:color w:val="1A1A1A"/>
                <w:sz w:val="19"/>
                <w:szCs w:val="19"/>
              </w:rPr>
              <w:t xml:space="preserve">QA and meta-skill provisions strong; LO completion, iterative assessment, and PLR operationalisation needed.</w:t>
            </w:r>
          </w:p>
        </w:tc>
      </w:tr>
      <w:tr>
        <w:tc>
          <w:tcPr>
            <w:tcW w:type="dxa" w:w="2000"/>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r>
              <w:rPr>
                <w:rFonts w:ascii="Arial" w:cs="Arial" w:eastAsia="Arial" w:hAnsi="Arial"/>
                <w:b/>
                <w:bCs/>
                <w:color w:val="1F3864"/>
                <w:sz w:val="18"/>
                <w:szCs w:val="18"/>
              </w:rPr>
              <w:t xml:space="preserve">Platform</w:t>
            </w:r>
          </w:p>
        </w:tc>
        <w:tc>
          <w:tcPr>
            <w:tcW w:type="dxa" w:w="900"/>
            <w:tcBorders>
              <w:top w:val="single" w:color="DDDDDD" w:sz="1"/>
              <w:left w:val="single" w:color="DDDDDD" w:sz="1"/>
              <w:bottom w:val="single" w:color="DDDDDD" w:sz="1"/>
              <w:right w:val="single" w:color="DDDDDD" w:sz="1"/>
            </w:tcBorders>
            <w:shd w:fill="F4F7FA" w:val="clear"/>
            <w:tcMar>
              <w:top w:type="dxa" w:w="80"/>
              <w:left w:type="dxa" w:w="80"/>
              <w:bottom w:type="dxa" w:w="80"/>
              <w:right w:type="dxa" w:w="80"/>
            </w:tcMar>
          </w:tcPr>
          <w:p>
            <w:pPr>
              <w:jc w:val="center"/>
            </w:pPr>
            <w:r>
              <w:rPr>
                <w:rFonts w:ascii="Arial" w:cs="Arial" w:eastAsia="Arial" w:hAnsi="Arial"/>
                <w:b/>
                <w:bCs/>
                <w:color w:val="1A1A1A"/>
                <w:sz w:val="18"/>
                <w:szCs w:val="18"/>
              </w:rPr>
              <w:t xml:space="preserve">4</w:t>
            </w:r>
          </w:p>
        </w:tc>
        <w:tc>
          <w:tcPr>
            <w:tcW w:type="dxa" w:w="900"/>
            <w:tcBorders>
              <w:top w:val="single" w:color="DDDDDD" w:sz="1"/>
              <w:left w:val="single" w:color="DDDDDD" w:sz="1"/>
              <w:bottom w:val="single" w:color="DDDDDD" w:sz="1"/>
              <w:right w:val="single" w:color="DDDDDD" w:sz="1"/>
            </w:tcBorders>
            <w:shd w:fill="F4F7FA" w:val="clear"/>
            <w:tcMar>
              <w:top w:type="dxa" w:w="80"/>
              <w:left w:type="dxa" w:w="80"/>
              <w:bottom w:type="dxa" w:w="80"/>
              <w:right w:type="dxa" w:w="80"/>
            </w:tcMar>
          </w:tcPr>
          <w:p>
            <w:pPr>
              <w:jc w:val="center"/>
            </w:pPr>
            <w:r>
              <w:rPr>
                <w:rFonts w:ascii="Arial" w:cs="Arial" w:eastAsia="Arial" w:hAnsi="Arial"/>
                <w:b/>
                <w:bCs/>
                <w:color w:val="1A5C38"/>
                <w:sz w:val="18"/>
                <w:szCs w:val="18"/>
              </w:rPr>
              <w:t xml:space="preserve">2</w:t>
            </w:r>
          </w:p>
        </w:tc>
        <w:tc>
          <w:tcPr>
            <w:tcW w:type="dxa" w:w="900"/>
            <w:tcBorders>
              <w:top w:val="single" w:color="DDDDDD" w:sz="1"/>
              <w:left w:val="single" w:color="DDDDDD" w:sz="1"/>
              <w:bottom w:val="single" w:color="DDDDDD" w:sz="1"/>
              <w:right w:val="single" w:color="DDDDDD" w:sz="1"/>
            </w:tcBorders>
            <w:shd w:fill="F4F7FA" w:val="clear"/>
            <w:tcMar>
              <w:top w:type="dxa" w:w="80"/>
              <w:left w:type="dxa" w:w="80"/>
              <w:bottom w:type="dxa" w:w="80"/>
              <w:right w:type="dxa" w:w="80"/>
            </w:tcMar>
          </w:tcPr>
          <w:p>
            <w:pPr>
              <w:jc w:val="center"/>
            </w:pPr>
            <w:r>
              <w:rPr>
                <w:rFonts w:ascii="Arial" w:cs="Arial" w:eastAsia="Arial" w:hAnsi="Arial"/>
                <w:b/>
                <w:bCs/>
                <w:color w:val="7A4A00"/>
                <w:sz w:val="18"/>
                <w:szCs w:val="18"/>
              </w:rPr>
              <w:t xml:space="preserve">1</w:t>
            </w:r>
          </w:p>
        </w:tc>
        <w:tc>
          <w:tcPr>
            <w:tcW w:type="dxa" w:w="900"/>
            <w:tcBorders>
              <w:top w:val="single" w:color="DDDDDD" w:sz="1"/>
              <w:left w:val="single" w:color="DDDDDD" w:sz="1"/>
              <w:bottom w:val="single" w:color="DDDDDD" w:sz="1"/>
              <w:right w:val="single" w:color="DDDDDD" w:sz="1"/>
            </w:tcBorders>
            <w:shd w:fill="F4F7FA" w:val="clear"/>
            <w:tcMar>
              <w:top w:type="dxa" w:w="80"/>
              <w:left w:type="dxa" w:w="80"/>
              <w:bottom w:type="dxa" w:w="80"/>
              <w:right w:type="dxa" w:w="80"/>
            </w:tcMar>
          </w:tcPr>
          <w:p>
            <w:pPr>
              <w:jc w:val="center"/>
            </w:pPr>
            <w:r>
              <w:rPr>
                <w:rFonts w:ascii="Arial" w:cs="Arial" w:eastAsia="Arial" w:hAnsi="Arial"/>
                <w:b/>
                <w:bCs/>
                <w:color w:val="8B1A1A"/>
                <w:sz w:val="18"/>
                <w:szCs w:val="18"/>
              </w:rPr>
              <w:t xml:space="preserve">1</w:t>
            </w:r>
          </w:p>
        </w:tc>
        <w:tc>
          <w:tcPr>
            <w:tcW w:type="dxa" w:w="3426"/>
            <w:tcBorders>
              <w:top w:val="single" w:color="DDDDDD" w:sz="1"/>
              <w:left w:val="single" w:color="DDDDDD" w:sz="1"/>
              <w:bottom w:val="single" w:color="DDDDDD" w:sz="1"/>
              <w:right w:val="single" w:color="DDDDDD" w:sz="1"/>
            </w:tcBorders>
            <w:shd w:fill="F4F7FA" w:val="clear"/>
            <w:tcMar>
              <w:top w:type="dxa" w:w="80"/>
              <w:left w:type="dxa" w:w="120"/>
              <w:bottom w:type="dxa" w:w="80"/>
              <w:right w:type="dxa" w:w="80"/>
            </w:tcMar>
          </w:tcPr>
          <w:p>
            <w:pPr>
              <w:jc w:val="both"/>
            </w:pPr>
            <w:r>
              <w:rPr>
                <w:rFonts w:ascii="Georgia" w:cs="Georgia" w:eastAsia="Georgia" w:hAnsi="Georgia"/>
                <w:b w:val="false"/>
                <w:bCs w:val="false"/>
                <w:color w:val="1A1A1A"/>
                <w:sz w:val="19"/>
                <w:szCs w:val="19"/>
              </w:rPr>
              <w:t xml:space="preserve">Open standards and asynchronous-first are strong; accessibility spec and procurement policy are gaps.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F3864"/>
                <w:sz w:val="18"/>
                <w:szCs w:val="18"/>
              </w:rPr>
              <w:t xml:space="preserve">Credential</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1A1A"/>
                <w:sz w:val="18"/>
                <w:szCs w:val="18"/>
              </w:rPr>
              <w:t xml:space="preserve">4</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1A5C38"/>
                <w:sz w:val="18"/>
                <w:szCs w:val="18"/>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7A4A00"/>
                <w:sz w:val="18"/>
                <w:szCs w:val="18"/>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8B1A1A"/>
                <w:sz w:val="18"/>
                <w:szCs w:val="18"/>
              </w:rPr>
              <w:t xml:space="preserve">0</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pPr>
              <w:jc w:val="both"/>
            </w:pPr>
            <w:r>
              <w:rPr>
                <w:rFonts w:ascii="Georgia" w:cs="Georgia" w:eastAsia="Georgia" w:hAnsi="Georgia"/>
                <w:b w:val="false"/>
                <w:bCs w:val="false"/>
                <w:color w:val="1A1A1A"/>
                <w:sz w:val="19"/>
                <w:szCs w:val="19"/>
              </w:rPr>
              <w:t xml:space="preserve">Portability and independence strong; pathway certification and assessment format specification needed.</w:t>
            </w:r>
          </w:p>
        </w:tc>
      </w:tr>
      <w:tr>
        <w:tc>
          <w:tcPr>
            <w:tcW w:type="dxa" w:w="2000"/>
            <w:tcBorders>
              <w:top w:val="single" w:color="DDDDDD" w:sz="1"/>
              <w:left w:val="single" w:color="DDDDDD" w:sz="1"/>
              <w:bottom w:val="single" w:color="DDDDDD" w:sz="1"/>
              <w:right w:val="single" w:color="DDDDDD" w:sz="1"/>
            </w:tcBorders>
            <w:shd w:fill="EEF4FB" w:val="clear"/>
            <w:tcMar>
              <w:top w:type="dxa" w:w="80"/>
              <w:left w:type="dxa" w:w="120"/>
              <w:bottom w:type="dxa" w:w="80"/>
              <w:right w:type="dxa" w:w="80"/>
            </w:tcMar>
          </w:tcPr>
          <w:p>
            <w:r>
              <w:rPr>
                <w:rFonts w:ascii="Arial" w:cs="Arial" w:eastAsia="Arial" w:hAnsi="Arial"/>
                <w:b/>
                <w:bCs/>
                <w:color w:val="1F3864"/>
                <w:sz w:val="18"/>
                <w:szCs w:val="18"/>
              </w:rPr>
              <w:t xml:space="preserve">TOTAL</w:t>
            </w:r>
          </w:p>
        </w:tc>
        <w:tc>
          <w:tcPr>
            <w:tcW w:type="dxa" w:w="900"/>
            <w:tcBorders>
              <w:top w:val="single" w:color="DDDDDD" w:sz="1"/>
              <w:left w:val="single" w:color="DDDDDD" w:sz="1"/>
              <w:bottom w:val="single" w:color="DDDDDD" w:sz="1"/>
              <w:right w:val="single" w:color="DDDDDD" w:sz="1"/>
            </w:tcBorders>
            <w:shd w:fill="EEF4FB" w:val="clear"/>
            <w:tcMar>
              <w:top w:type="dxa" w:w="80"/>
              <w:left w:type="dxa" w:w="80"/>
              <w:bottom w:type="dxa" w:w="80"/>
              <w:right w:type="dxa" w:w="80"/>
            </w:tcMar>
          </w:tcPr>
          <w:p>
            <w:pPr>
              <w:jc w:val="center"/>
            </w:pPr>
            <w:r>
              <w:rPr>
                <w:rFonts w:ascii="Arial" w:cs="Arial" w:eastAsia="Arial" w:hAnsi="Arial"/>
                <w:b/>
                <w:bCs/>
                <w:color w:val="1A1A1A"/>
                <w:sz w:val="18"/>
                <w:szCs w:val="18"/>
              </w:rPr>
              <w:t xml:space="preserve">20</w:t>
            </w:r>
          </w:p>
        </w:tc>
        <w:tc>
          <w:tcPr>
            <w:tcW w:type="dxa" w:w="900"/>
            <w:tcBorders>
              <w:top w:val="single" w:color="DDDDDD" w:sz="1"/>
              <w:left w:val="single" w:color="DDDDDD" w:sz="1"/>
              <w:bottom w:val="single" w:color="DDDDDD" w:sz="1"/>
              <w:right w:val="single" w:color="DDDDDD" w:sz="1"/>
            </w:tcBorders>
            <w:shd w:fill="EEF4FB" w:val="clear"/>
            <w:tcMar>
              <w:top w:type="dxa" w:w="80"/>
              <w:left w:type="dxa" w:w="80"/>
              <w:bottom w:type="dxa" w:w="80"/>
              <w:right w:type="dxa" w:w="80"/>
            </w:tcMar>
          </w:tcPr>
          <w:p>
            <w:pPr>
              <w:jc w:val="center"/>
            </w:pPr>
            <w:r>
              <w:rPr>
                <w:rFonts w:ascii="Arial" w:cs="Arial" w:eastAsia="Arial" w:hAnsi="Arial"/>
                <w:b/>
                <w:bCs/>
                <w:color w:val="1A5C38"/>
                <w:sz w:val="18"/>
                <w:szCs w:val="18"/>
              </w:rPr>
              <w:t xml:space="preserve">13</w:t>
            </w:r>
          </w:p>
        </w:tc>
        <w:tc>
          <w:tcPr>
            <w:tcW w:type="dxa" w:w="900"/>
            <w:tcBorders>
              <w:top w:val="single" w:color="DDDDDD" w:sz="1"/>
              <w:left w:val="single" w:color="DDDDDD" w:sz="1"/>
              <w:bottom w:val="single" w:color="DDDDDD" w:sz="1"/>
              <w:right w:val="single" w:color="DDDDDD" w:sz="1"/>
            </w:tcBorders>
            <w:shd w:fill="EEF4FB" w:val="clear"/>
            <w:tcMar>
              <w:top w:type="dxa" w:w="80"/>
              <w:left w:type="dxa" w:w="80"/>
              <w:bottom w:type="dxa" w:w="80"/>
              <w:right w:type="dxa" w:w="80"/>
            </w:tcMar>
          </w:tcPr>
          <w:p>
            <w:pPr>
              <w:jc w:val="center"/>
            </w:pPr>
            <w:r>
              <w:rPr>
                <w:rFonts w:ascii="Arial" w:cs="Arial" w:eastAsia="Arial" w:hAnsi="Arial"/>
                <w:b/>
                <w:bCs/>
                <w:color w:val="7A4A00"/>
                <w:sz w:val="18"/>
                <w:szCs w:val="18"/>
              </w:rPr>
              <w:t xml:space="preserve">6</w:t>
            </w:r>
          </w:p>
        </w:tc>
        <w:tc>
          <w:tcPr>
            <w:tcW w:type="dxa" w:w="900"/>
            <w:tcBorders>
              <w:top w:val="single" w:color="DDDDDD" w:sz="1"/>
              <w:left w:val="single" w:color="DDDDDD" w:sz="1"/>
              <w:bottom w:val="single" w:color="DDDDDD" w:sz="1"/>
              <w:right w:val="single" w:color="DDDDDD" w:sz="1"/>
            </w:tcBorders>
            <w:shd w:fill="EEF4FB" w:val="clear"/>
            <w:tcMar>
              <w:top w:type="dxa" w:w="80"/>
              <w:left w:type="dxa" w:w="80"/>
              <w:bottom w:type="dxa" w:w="80"/>
              <w:right w:type="dxa" w:w="80"/>
            </w:tcMar>
          </w:tcPr>
          <w:p>
            <w:pPr>
              <w:jc w:val="center"/>
            </w:pPr>
            <w:r>
              <w:rPr>
                <w:rFonts w:ascii="Arial" w:cs="Arial" w:eastAsia="Arial" w:hAnsi="Arial"/>
                <w:b/>
                <w:bCs/>
                <w:color w:val="8B1A1A"/>
                <w:sz w:val="18"/>
                <w:szCs w:val="18"/>
              </w:rPr>
              <w:t xml:space="preserve">1</w:t>
            </w:r>
          </w:p>
        </w:tc>
        <w:tc>
          <w:tcPr>
            <w:tcW w:type="dxa" w:w="3426"/>
            <w:tcBorders>
              <w:top w:val="single" w:color="DDDDDD" w:sz="1"/>
              <w:left w:val="single" w:color="DDDDDD" w:sz="1"/>
              <w:bottom w:val="single" w:color="DDDDDD" w:sz="1"/>
              <w:right w:val="single" w:color="DDDDDD" w:sz="1"/>
            </w:tcBorders>
            <w:shd w:fill="EEF4FB" w:val="clear"/>
            <w:tcMar>
              <w:top w:type="dxa" w:w="80"/>
              <w:left w:type="dxa" w:w="120"/>
              <w:bottom w:type="dxa" w:w="80"/>
              <w:right w:type="dxa" w:w="80"/>
            </w:tcMar>
          </w:tcPr>
          <w:p>
            <w:pPr>
              <w:jc w:val="both"/>
            </w:pPr>
            <w:r>
              <w:rPr>
                <w:rFonts w:ascii="Georgia" w:cs="Georgia" w:eastAsia="Georgia" w:hAnsi="Georgia"/>
                <w:b/>
                <w:bCs/>
                <w:color w:val="1A1A1A"/>
                <w:sz w:val="19"/>
                <w:szCs w:val="19"/>
              </w:rPr>
              <w:t xml:space="preserve">Strong foundation; operational gaps concentrate in pedagogical detail and platform specification.</w:t>
            </w:r>
          </w:p>
        </w:tc>
      </w:tr>
    </w:tbl>
    <w:p>
      <w:pPr>
        <w:spacing w:before="0" w:after="100"/>
      </w:pPr>
    </w:p>
    <w:p>
      <w:pPr>
        <w:pStyle w:val="Heading2"/>
        <w:spacing w:before="320" w:after="100"/>
      </w:pPr>
      <w:r>
        <w:rPr>
          <w:rFonts w:ascii="Georgia" w:cs="Georgia" w:eastAsia="Georgia" w:hAnsi="Georgia"/>
          <w:b/>
          <w:bCs/>
          <w:color w:val="2E75B6"/>
          <w:sz w:val="25"/>
          <w:szCs w:val="25"/>
        </w:rPr>
        <w:t xml:space="preserve">3.2  Three Priority Actions</w:t>
      </w:r>
    </w:p>
    <w:p>
      <w:pPr>
        <w:pStyle w:val="Heading3"/>
        <w:spacing w:before="240" w:after="80"/>
      </w:pPr>
      <w:r>
        <w:rPr>
          <w:rFonts w:ascii="Arial" w:cs="Arial" w:eastAsia="Arial" w:hAnsi="Arial"/>
          <w:b/>
          <w:bCs/>
          <w:color w:val="8B1A1A"/>
          <w:sz w:val="21"/>
          <w:szCs w:val="21"/>
        </w:rPr>
        <w:t xml:space="preserve">Priority 1: Complete the Modulhandbuch</w:t>
      </w:r>
    </w:p>
    <w:p>
      <w:pPr>
        <w:spacing w:before="0" w:after="185"/>
        <w:ind/>
        <w:jc w:val="both"/>
      </w:pPr>
      <w:r>
        <w:rPr>
          <w:rFonts w:ascii="Georgia" w:cs="Georgia" w:eastAsia="Georgia" w:hAnsi="Georgia"/>
          <w:b w:val="false"/>
          <w:bCs w:val="false"/>
          <w:i w:val="false"/>
          <w:iCs w:val="false"/>
          <w:color w:val="1A1A1A"/>
          <w:sz w:val="23"/>
          <w:szCs w:val="23"/>
        </w:rPr>
        <w:t xml:space="preserve">This is the single highest-priority gap. 33 of 37 modules lack complete learning outcome specifications at the level required by the QA Framework and supported by the empirical evidence. Berkling (in review) demonstrates that outcome specificity is directly connected to learning gain — learners who cannot see exactly what competent performance looks like cannot regulate their learning effectively. This matters most for learners who have less prior experience with formal academic expectations, which is precisely OUG's target population. Each module specification must include: learning outcomes across all three types (Subject-Specific, Methodological, Personal/Social), ESCO competency mappings, assessment format specification, and iterative attempt provisions.</w:t>
      </w:r>
    </w:p>
    <w:p>
      <w:pPr>
        <w:spacing w:before="0" w:after="80"/>
      </w:pPr>
    </w:p>
    <w:p>
      <w:pPr>
        <w:pStyle w:val="Heading3"/>
        <w:spacing w:before="240" w:after="80"/>
      </w:pPr>
      <w:r>
        <w:rPr>
          <w:rFonts w:ascii="Arial" w:cs="Arial" w:eastAsia="Arial" w:hAnsi="Arial"/>
          <w:b/>
          <w:bCs/>
          <w:color w:val="8B1A1A"/>
          <w:sz w:val="21"/>
          <w:szCs w:val="21"/>
        </w:rPr>
        <w:t xml:space="preserve">Priority 2: Develop a Platform Accessibility and Student-Facing Communication Specification</w:t>
      </w:r>
    </w:p>
    <w:p>
      <w:pPr>
        <w:spacing w:before="0" w:after="185"/>
        <w:ind/>
        <w:jc w:val="both"/>
      </w:pPr>
      <w:r>
        <w:rPr>
          <w:rFonts w:ascii="Georgia" w:cs="Georgia" w:eastAsia="Georgia" w:hAnsi="Georgia"/>
          <w:b w:val="false"/>
          <w:bCs w:val="false"/>
          <w:i w:val="false"/>
          <w:iCs w:val="false"/>
          <w:color w:val="1A1A1A"/>
          <w:sz w:val="23"/>
          <w:szCs w:val="23"/>
        </w:rPr>
        <w:t xml:space="preserve">Two related gaps converge here. First, no minimum viable access specification exists for the platform — without this, platform procurement decisions may inadvertently encode assumptions about device quality and bandwidth that exclude OUG's geographic-peripheral target learners. Second, no framing guide for student-facing communications exists — without this, individual interactions (progress reports, academic advising, feedback messages) may default to deficit framing that the Lowery and Wout (2010) research demonstrates is directly associated with academic disengagement. These can be developed together as an Equity Communication and Access Standard.</w:t>
      </w:r>
    </w:p>
    <w:p>
      <w:pPr>
        <w:spacing w:before="0" w:after="80"/>
      </w:pPr>
    </w:p>
    <w:p>
      <w:pPr>
        <w:pStyle w:val="Heading3"/>
        <w:spacing w:before="240" w:after="80"/>
      </w:pPr>
      <w:r>
        <w:rPr>
          <w:rFonts w:ascii="Arial" w:cs="Arial" w:eastAsia="Arial" w:hAnsi="Arial"/>
          <w:b/>
          <w:bCs/>
          <w:color w:val="7A4A00"/>
          <w:sz w:val="21"/>
          <w:szCs w:val="21"/>
        </w:rPr>
        <w:t xml:space="preserve">Priority 3: Specify Prior Learning Recognition Procedures and Iterative Assessment Provisions</w:t>
      </w:r>
    </w:p>
    <w:p>
      <w:pPr>
        <w:spacing w:before="0" w:after="185"/>
        <w:ind/>
        <w:jc w:val="both"/>
      </w:pPr>
      <w:r>
        <w:rPr>
          <w:rFonts w:ascii="Georgia" w:cs="Georgia" w:eastAsia="Georgia" w:hAnsi="Georgia"/>
          <w:b w:val="false"/>
          <w:bCs w:val="false"/>
          <w:i w:val="false"/>
          <w:iCs w:val="false"/>
          <w:color w:val="1A1A1A"/>
          <w:sz w:val="23"/>
          <w:szCs w:val="23"/>
        </w:rPr>
        <w:t xml:space="preserve">Prior learning recognition is central to OUG's mission but its operational specification — what evidence is accepted, who assesses it, on what criteria — is absent from the Prüfungsordnung. Similarly, the Berkling (in review) finding on productive struggle suggests that a one-attempt-only assessment model misclassifies productive struggle as incompetence, disproportionately affecting non-traditional learners. Both of these require Prüfungsordnung amendments before the first cohort enrols.</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IV.  The Interaction Hypothesis: Governance and Pedagogy as a System</w:t>
      </w:r>
    </w:p>
    <w:p>
      <w:pPr>
        <w:spacing w:before="0" w:after="185"/>
        <w:ind/>
        <w:jc w:val="both"/>
      </w:pPr>
      <w:r>
        <w:rPr>
          <w:rFonts w:ascii="Georgia" w:cs="Georgia" w:eastAsia="Georgia" w:hAnsi="Georgia"/>
          <w:b w:val="false"/>
          <w:bCs w:val="false"/>
          <w:i w:val="false"/>
          <w:iCs w:val="false"/>
          <w:color w:val="1A1A1A"/>
          <w:sz w:val="23"/>
          <w:szCs w:val="23"/>
        </w:rPr>
        <w:t xml:space="preserve">The five domains assessed above are not independent. The equity evidence suggests they interact — and that failure at any single level can undermine equity gains at all others. This section articulates the interaction hypothesis that emerges from combining the framing literature with the task-based learning evidence.</w:t>
      </w:r>
    </w:p>
    <w:p>
      <w:pPr>
        <w:spacing w:before="0" w:after="80"/>
      </w:pPr>
    </w:p>
    <w:p>
      <w:pPr>
        <w:pStyle w:val="Heading2"/>
        <w:spacing w:before="320" w:after="100"/>
      </w:pPr>
      <w:r>
        <w:rPr>
          <w:rFonts w:ascii="Georgia" w:cs="Georgia" w:eastAsia="Georgia" w:hAnsi="Georgia"/>
          <w:b/>
          <w:bCs/>
          <w:color w:val="2E75B6"/>
          <w:sz w:val="25"/>
          <w:szCs w:val="25"/>
        </w:rPr>
        <w:t xml:space="preserve">4.1  The Mechanism</w:t>
      </w:r>
    </w:p>
    <w:p>
      <w:pPr>
        <w:spacing w:before="0" w:after="185"/>
        <w:ind/>
        <w:jc w:val="both"/>
      </w:pPr>
      <w:r>
        <w:rPr>
          <w:rFonts w:ascii="Georgia" w:cs="Georgia" w:eastAsia="Georgia" w:hAnsi="Georgia"/>
          <w:b w:val="false"/>
          <w:bCs w:val="false"/>
          <w:i w:val="false"/>
          <w:iCs w:val="false"/>
          <w:color w:val="1A1A1A"/>
          <w:sz w:val="23"/>
          <w:szCs w:val="23"/>
        </w:rPr>
        <w:t xml:space="preserve">Lowery and Wout (2010) demonstrate that framing affects engagement through an attributional pathway: when inequality is framed as ingroup-related, learners disengage their self-esteem from academic performance because they cannot be certain that their outcomes reflect their ability rather than structural bias. When inequality is framed as an outgroup property — when the institution is clearly designed for them and the structural disadvantage is located in the old system rather than in themselves — learners can invest their self-esteem in academic performance and engage fully.</w:t>
      </w:r>
    </w:p>
    <w:p>
      <w:pPr>
        <w:spacing w:before="0" w:after="185"/>
        <w:ind/>
        <w:jc w:val="both"/>
      </w:pPr>
      <w:r>
        <w:rPr>
          <w:rFonts w:ascii="Georgia" w:cs="Georgia" w:eastAsia="Georgia" w:hAnsi="Georgia"/>
          <w:b w:val="false"/>
          <w:bCs w:val="false"/>
          <w:i w:val="false"/>
          <w:iCs w:val="false"/>
          <w:color w:val="1A1A1A"/>
          <w:sz w:val="23"/>
          <w:szCs w:val="23"/>
        </w:rPr>
        <w:t xml:space="preserve">Berkling (in review) demonstrates that in a well-designed task-based learning environment, engagement depth is the primary predictor of learning gain, and that sustained engagement during periods of productive struggle produces the highest outcomes. The implication of combining these findings is: the benefits of task-based pedagogy are only fully realised for non-traditional learners if the institutional framing enables them to remain engaged during the productive struggle period. A learner who interprets struggle as evidence of their own deficiency — activated by deficit framing at the institutional level — will disengage at precisely the moment when engagement would produce the highest gain.</w:t>
      </w:r>
    </w:p>
    <w:p>
      <w:pPr>
        <w:spacing w:before="0" w:after="80"/>
      </w:pPr>
    </w:p>
    <w:p>
      <w:pPr>
        <w:pStyle w:val="Heading2"/>
        <w:spacing w:before="320" w:after="100"/>
      </w:pPr>
      <w:r>
        <w:rPr>
          <w:rFonts w:ascii="Georgia" w:cs="Georgia" w:eastAsia="Georgia" w:hAnsi="Georgia"/>
          <w:b/>
          <w:bCs/>
          <w:color w:val="2E75B6"/>
          <w:sz w:val="25"/>
          <w:szCs w:val="25"/>
        </w:rPr>
        <w:t xml:space="preserve">4.2  The OUG Design as a Test Case</w:t>
      </w:r>
    </w:p>
    <w:p>
      <w:pPr>
        <w:spacing w:before="0" w:after="185"/>
        <w:ind/>
        <w:jc w:val="both"/>
      </w:pPr>
      <w:r>
        <w:rPr>
          <w:rFonts w:ascii="Georgia" w:cs="Georgia" w:eastAsia="Georgia" w:hAnsi="Georgia"/>
          <w:b w:val="false"/>
          <w:bCs w:val="false"/>
          <w:i w:val="false"/>
          <w:iCs w:val="false"/>
          <w:color w:val="1A1A1A"/>
          <w:sz w:val="23"/>
          <w:szCs w:val="23"/>
        </w:rPr>
        <w:t xml:space="preserve">The OUG is, in structural terms, the ideal test case for this interaction hypothesis. It has a founding mission that frames learners as capable adults in the wrong system (advantage frame at the institutional level), a credential architecture that makes partial completion economically meaningful (structural support for continued engagement during difficulty), a task-based and competency-aligned pedagogy (activation of the engagement-gain pathway), and a federated governance model that includes learners as genuine participants (governance agency as a transfer to learning agency).</w:t>
      </w:r>
    </w:p>
    <w:p>
      <w:pPr>
        <w:spacing w:before="0" w:after="185"/>
        <w:ind/>
        <w:jc w:val="both"/>
      </w:pPr>
      <w:r>
        <w:rPr>
          <w:rFonts w:ascii="Georgia" w:cs="Georgia" w:eastAsia="Georgia" w:hAnsi="Georgia"/>
          <w:b w:val="false"/>
          <w:bCs w:val="false"/>
          <w:i w:val="false"/>
          <w:iCs w:val="false"/>
          <w:color w:val="1A1A1A"/>
          <w:sz w:val="23"/>
          <w:szCs w:val="23"/>
        </w:rPr>
        <w:t xml:space="preserve">If the interaction hypothesis is correct, the OUG should produce engagement and learning gain patterns among non-traditional learners that are systematically better than comparable institutions that address any one of these levels without the others. This is a testable prediction, and the OUG's own trajectory — as it moves from institutional design to operational delivery — provides the natural experiment through which it can be tested.</w:t>
      </w:r>
    </w:p>
    <w:p>
      <w:pPr>
        <w:spacing w:before="0" w:after="80"/>
      </w:pPr>
    </w:p>
    <w:p>
      <w:pPr>
        <w:pStyle w:val="Heading2"/>
        <w:spacing w:before="320" w:after="100"/>
      </w:pPr>
      <w:r>
        <w:rPr>
          <w:rFonts w:ascii="Georgia" w:cs="Georgia" w:eastAsia="Georgia" w:hAnsi="Georgia"/>
          <w:b/>
          <w:bCs/>
          <w:color w:val="2E75B6"/>
          <w:sz w:val="25"/>
          <w:szCs w:val="25"/>
        </w:rPr>
        <w:t xml:space="preserve">4.3  A Research Agenda</w:t>
      </w:r>
    </w:p>
    <w:p>
      <w:pPr>
        <w:spacing w:before="0" w:after="185"/>
        <w:ind/>
        <w:jc w:val="both"/>
      </w:pPr>
      <w:r>
        <w:rPr>
          <w:rFonts w:ascii="Georgia" w:cs="Georgia" w:eastAsia="Georgia" w:hAnsi="Georgia"/>
          <w:b w:val="false"/>
          <w:bCs w:val="false"/>
          <w:i w:val="false"/>
          <w:iCs w:val="false"/>
          <w:color w:val="1A1A1A"/>
          <w:sz w:val="23"/>
          <w:szCs w:val="23"/>
        </w:rPr>
        <w:t xml:space="preserve">The following three research questions follow directly from the analysis in this paper:</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RQ1: </w:t>
      </w:r>
      <w:r>
        <w:rPr>
          <w:rFonts w:ascii="Georgia" w:cs="Georgia" w:eastAsia="Georgia" w:hAnsi="Georgia"/>
          <w:b w:val="false"/>
          <w:bCs w:val="false"/>
          <w:i w:val="false"/>
          <w:iCs w:val="false"/>
          <w:color w:val="1A1A1A"/>
          <w:sz w:val="23"/>
          <w:szCs w:val="23"/>
        </w:rPr>
        <w:t xml:space="preserve">Does institutional framing — specifically, whether the institution's communications adopt an advantage frame (the system was designed for these learners) or a deficit frame (these learners need remediation) — moderate the relationship between task engagement and learning gain among non-traditional learners? (Tests the primary interaction hypothesis.)</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RQ2: </w:t>
      </w:r>
      <w:r>
        <w:rPr>
          <w:rFonts w:ascii="Georgia" w:cs="Georgia" w:eastAsia="Georgia" w:hAnsi="Georgia"/>
          <w:b w:val="false"/>
          <w:bCs w:val="false"/>
          <w:i w:val="false"/>
          <w:iCs w:val="false"/>
          <w:color w:val="1A1A1A"/>
          <w:sz w:val="23"/>
          <w:szCs w:val="23"/>
        </w:rPr>
        <w:t xml:space="preserve">Does governance participation — specifically, the experience of being a genuine voting member of an institution's governance structures rather than a consultative voice — increase academic self-efficacy and reduce the probability of disengagement during productive struggle periods? (Tests the governance-to-learning-agency transfer mechanism.)</w:t>
      </w:r>
    </w:p>
    <w:p>
      <w:pPr>
        <w:spacing w:before="0" w:after="60"/>
      </w:pPr>
    </w:p>
    <w:p>
      <w:pPr>
        <w:spacing w:before="0" w:after="185"/>
        <w:jc w:val="both"/>
      </w:pPr>
      <w:r>
        <w:rPr>
          <w:rFonts w:ascii="Georgia" w:cs="Georgia" w:eastAsia="Georgia" w:hAnsi="Georgia"/>
          <w:b/>
          <w:bCs/>
          <w:i w:val="false"/>
          <w:iCs w:val="false"/>
          <w:color w:val="1A1A1A"/>
          <w:sz w:val="23"/>
          <w:szCs w:val="23"/>
        </w:rPr>
        <w:t xml:space="preserve">RQ3: </w:t>
      </w:r>
      <w:r>
        <w:rPr>
          <w:rFonts w:ascii="Georgia" w:cs="Georgia" w:eastAsia="Georgia" w:hAnsi="Georgia"/>
          <w:b w:val="false"/>
          <w:bCs w:val="false"/>
          <w:i w:val="false"/>
          <w:iCs w:val="false"/>
          <w:color w:val="1A1A1A"/>
          <w:sz w:val="23"/>
          <w:szCs w:val="23"/>
        </w:rPr>
        <w:t xml:space="preserve">Does the combination of a stackable micro-credential architecture (making partial completion economically meaningful) and advantage-framed institutional communication reduce the rate of study interruption among working adults compared to institutions with traditional all-or-nothing degree structures? (Tests the credential design interaction with framing effects.)</w:t>
      </w:r>
    </w:p>
    <w:p>
      <w:pPr>
        <w:spacing w:before="0" w:after="80"/>
      </w:pPr>
    </w:p>
    <w:p>
      <w:pPr>
        <w:spacing w:before="0" w:after="185"/>
        <w:ind/>
        <w:jc w:val="both"/>
      </w:pPr>
      <w:r>
        <w:rPr>
          <w:rFonts w:ascii="Georgia" w:cs="Georgia" w:eastAsia="Georgia" w:hAnsi="Georgia"/>
          <w:b w:val="false"/>
          <w:bCs w:val="false"/>
          <w:i/>
          <w:iCs/>
          <w:color w:val="4A5568"/>
          <w:sz w:val="23"/>
          <w:szCs w:val="23"/>
        </w:rPr>
        <w:t xml:space="preserve">These questions can be studied longitudinally using the OUG's own student cohorts, with the advantage frame/deficit frame distinction operationalised through the institutional communication audit proposed under Priority 2. The OUG's learning analytics infrastructure — specified in the OKR Framework and Governance Dashboard — provides the data collection mechanism; alignment of analytics collection with these research questions should be a design requirement, not a retrofit.</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References</w:t>
      </w:r>
    </w:p>
    <w:p>
      <w:pPr>
        <w:spacing w:before="0" w:after="120"/>
        <w:ind w:left="720" w:hanging="720"/>
        <w:jc w:val="both"/>
      </w:pPr>
      <w:r>
        <w:rPr>
          <w:rFonts w:ascii="Georgia" w:cs="Georgia" w:eastAsia="Georgia" w:hAnsi="Georgia"/>
          <w:color w:val="1A1A1A"/>
          <w:sz w:val="21"/>
          <w:szCs w:val="21"/>
        </w:rPr>
        <w:t xml:space="preserve">Berkling, K. (in review). Making learning visible: Task-based learning analytics in introductory programming education. British Journal of Educational Technology.</w:t>
      </w:r>
    </w:p>
    <w:p>
      <w:pPr>
        <w:spacing w:before="0" w:after="120"/>
        <w:ind w:left="720" w:hanging="720"/>
        <w:jc w:val="both"/>
      </w:pPr>
      <w:r>
        <w:rPr>
          <w:rFonts w:ascii="Georgia" w:cs="Georgia" w:eastAsia="Georgia" w:hAnsi="Georgia"/>
          <w:color w:val="1A1A1A"/>
          <w:sz w:val="21"/>
          <w:szCs w:val="21"/>
        </w:rPr>
        <w:t xml:space="preserve">Biggs, J., &amp; Tang, C. (2011). Teaching for quality learning at university (4th ed.). Open University Press.</w:t>
      </w:r>
    </w:p>
    <w:p>
      <w:pPr>
        <w:spacing w:before="0" w:after="120"/>
        <w:ind w:left="720" w:hanging="720"/>
        <w:jc w:val="both"/>
      </w:pPr>
      <w:r>
        <w:rPr>
          <w:rFonts w:ascii="Georgia" w:cs="Georgia" w:eastAsia="Georgia" w:hAnsi="Georgia"/>
          <w:color w:val="1A1A1A"/>
          <w:sz w:val="21"/>
          <w:szCs w:val="21"/>
        </w:rPr>
        <w:t xml:space="preserve">Ellis, R. (2003). Task-based language learning and teaching. Oxford University Press.</w:t>
      </w:r>
    </w:p>
    <w:p>
      <w:pPr>
        <w:spacing w:before="0" w:after="120"/>
        <w:ind w:left="720" w:hanging="720"/>
        <w:jc w:val="both"/>
      </w:pPr>
      <w:r>
        <w:rPr>
          <w:rFonts w:ascii="Georgia" w:cs="Georgia" w:eastAsia="Georgia" w:hAnsi="Georgia"/>
          <w:color w:val="1A1A1A"/>
          <w:sz w:val="21"/>
          <w:szCs w:val="21"/>
        </w:rPr>
        <w:t xml:space="preserve">Guo, P. J., &amp; Reinecke, K. (2014). Demographic differences in how students navigate through MOOCs. Proceedings of the First ACM Conference on Learning @ Scale, 21–30.</w:t>
      </w:r>
    </w:p>
    <w:p>
      <w:pPr>
        <w:spacing w:before="0" w:after="120"/>
        <w:ind w:left="720" w:hanging="720"/>
        <w:jc w:val="both"/>
      </w:pPr>
      <w:r>
        <w:rPr>
          <w:rFonts w:ascii="Georgia" w:cs="Georgia" w:eastAsia="Georgia" w:hAnsi="Georgia"/>
          <w:color w:val="1A1A1A"/>
          <w:sz w:val="21"/>
          <w:szCs w:val="21"/>
        </w:rPr>
        <w:t xml:space="preserve">Kahneman, D., &amp; Miller, D. T. (1986). Norm theory: Comparing reality to its alternatives. Psychological Review, 93(2), 136–153. https://doi.org/10.1037/0033-295X.93.2.136</w:t>
      </w:r>
    </w:p>
    <w:p>
      <w:pPr>
        <w:spacing w:before="0" w:after="120"/>
        <w:ind w:left="720" w:hanging="720"/>
        <w:jc w:val="both"/>
      </w:pPr>
      <w:r>
        <w:rPr>
          <w:rFonts w:ascii="Georgia" w:cs="Georgia" w:eastAsia="Georgia" w:hAnsi="Georgia"/>
          <w:color w:val="1A1A1A"/>
          <w:sz w:val="21"/>
          <w:szCs w:val="21"/>
        </w:rPr>
        <w:t xml:space="preserve">Kapur, M. (2016). Examining productive failure, productive success, unproductive failure, and unproductive success in learning. Educational Psychologist, 51(2), 289–299. https://doi.org/10.1080/10459284.2016.1183772</w:t>
      </w:r>
    </w:p>
    <w:p>
      <w:pPr>
        <w:spacing w:before="0" w:after="120"/>
        <w:ind w:left="720" w:hanging="720"/>
        <w:jc w:val="both"/>
      </w:pPr>
      <w:r>
        <w:rPr>
          <w:rFonts w:ascii="Georgia" w:cs="Georgia" w:eastAsia="Georgia" w:hAnsi="Georgia"/>
          <w:color w:val="1A1A1A"/>
          <w:sz w:val="21"/>
          <w:szCs w:val="21"/>
        </w:rPr>
        <w:t xml:space="preserve">Long, M. H. (2015). Second language acquisition and task-based language teaching. Wiley-Blackwell.</w:t>
      </w:r>
    </w:p>
    <w:p>
      <w:pPr>
        <w:spacing w:before="0" w:after="120"/>
        <w:ind w:left="720" w:hanging="720"/>
        <w:jc w:val="both"/>
      </w:pPr>
      <w:r>
        <w:rPr>
          <w:rFonts w:ascii="Georgia" w:cs="Georgia" w:eastAsia="Georgia" w:hAnsi="Georgia"/>
          <w:color w:val="1A1A1A"/>
          <w:sz w:val="21"/>
          <w:szCs w:val="21"/>
        </w:rPr>
        <w:t xml:space="preserve">Lowery, B. S., Chow, R. M., Knowles, E. D., &amp; Unzueta, M. M. (2011). Paying for positive group esteem: How inequity frames affect Whites' responses to redistributive policies. Journal of Personality and Social Psychology, 102(2), 323–336. https://doi.org/10.1037/a0024598</w:t>
      </w:r>
    </w:p>
    <w:p>
      <w:pPr>
        <w:spacing w:before="0" w:after="120"/>
        <w:ind w:left="720" w:hanging="720"/>
        <w:jc w:val="both"/>
      </w:pPr>
      <w:r>
        <w:rPr>
          <w:rFonts w:ascii="Georgia" w:cs="Georgia" w:eastAsia="Georgia" w:hAnsi="Georgia"/>
          <w:color w:val="1A1A1A"/>
          <w:sz w:val="21"/>
          <w:szCs w:val="21"/>
        </w:rPr>
        <w:t xml:space="preserve">Lowery, B. S., &amp; Wout, D. A. (2010). When inequality matters: The effect of inequality frames on academic engagement. Journal of Personality and Social Psychology, 98(6), 956–966. https://doi.org/10.1037/a0017926</w:t>
      </w:r>
    </w:p>
    <w:p>
      <w:pPr>
        <w:spacing w:before="0" w:after="120"/>
        <w:ind w:left="720" w:hanging="720"/>
        <w:jc w:val="both"/>
      </w:pPr>
      <w:r>
        <w:rPr>
          <w:rFonts w:ascii="Georgia" w:cs="Georgia" w:eastAsia="Georgia" w:hAnsi="Georgia"/>
          <w:color w:val="1A1A1A"/>
          <w:sz w:val="21"/>
          <w:szCs w:val="21"/>
        </w:rPr>
        <w:t xml:space="preserve">Major, B., &amp; Schmader, T. (1998). Coping with stigma through psychological disengagement. In J. K. Swim &amp; C. Stangor (Eds.), Prejudice: The target's perspective (pp. 219–241). Academic Press.</w:t>
      </w:r>
    </w:p>
    <w:p>
      <w:pPr>
        <w:spacing w:before="0" w:after="120"/>
        <w:ind w:left="720" w:hanging="720"/>
        <w:jc w:val="both"/>
      </w:pPr>
      <w:r>
        <w:rPr>
          <w:rFonts w:ascii="Georgia" w:cs="Georgia" w:eastAsia="Georgia" w:hAnsi="Georgia"/>
          <w:color w:val="1A1A1A"/>
          <w:sz w:val="21"/>
          <w:szCs w:val="21"/>
        </w:rPr>
        <w:t xml:space="preserve">Malapally, A., Methner, N., Braun, M., Wittenborn, S., &amp; Bruckmüller, S. (2025). Framing inequality as advantage versus disadvantage: A systematic review of effects and a two-step model to explain them. Personality and Social Psychology Review, 30(1), 55–82. https://doi.org/10.1177/10888683251333458</w:t>
      </w:r>
    </w:p>
    <w:p>
      <w:pPr>
        <w:spacing w:before="0" w:after="120"/>
        <w:ind w:left="720" w:hanging="720"/>
        <w:jc w:val="both"/>
      </w:pPr>
      <w:r>
        <w:rPr>
          <w:rFonts w:ascii="Georgia" w:cs="Georgia" w:eastAsia="Georgia" w:hAnsi="Georgia"/>
          <w:color w:val="1A1A1A"/>
          <w:sz w:val="21"/>
          <w:szCs w:val="21"/>
        </w:rPr>
        <w:t xml:space="preserve">Schmader, T., Major, B., &amp; Gramzow, R. (2001). Coping with ethnic stereotypes in the academic domain: Perceived injustice and psychological disengagement. Journal of Social Issues, 57(1), 93–111. https://doi.org/10.1111/0022-4537.00203</w:t>
      </w:r>
    </w:p>
    <w:p>
      <w:pPr>
        <w:spacing w:before="0" w:after="120"/>
        <w:ind w:left="720" w:hanging="720"/>
        <w:jc w:val="both"/>
      </w:pPr>
      <w:r>
        <w:rPr>
          <w:rFonts w:ascii="Georgia" w:cs="Georgia" w:eastAsia="Georgia" w:hAnsi="Georgia"/>
          <w:color w:val="1A1A1A"/>
          <w:sz w:val="21"/>
          <w:szCs w:val="21"/>
        </w:rPr>
        <w:t xml:space="preserve">Tajfel, H., &amp; Turner, J. C. (1986). The social identity theory of intergroup behavior. In S. Worchel &amp; W. G. Austin (Eds.), The social psychology of intergroup relations (pp. 7–24). Nelson-Hall.</w:t>
      </w:r>
    </w:p>
    <w:p>
      <w:pPr>
        <w:spacing w:before="0" w:after="120"/>
        <w:ind w:left="720" w:hanging="720"/>
        <w:jc w:val="both"/>
      </w:pPr>
      <w:r>
        <w:rPr>
          <w:rFonts w:ascii="Georgia" w:cs="Georgia" w:eastAsia="Georgia" w:hAnsi="Georgia"/>
          <w:color w:val="1A1A1A"/>
          <w:sz w:val="21"/>
          <w:szCs w:val="21"/>
        </w:rPr>
        <w:t xml:space="preserve">Tversky, A. (1977). Features of similarity. Psychological Review, 84(4), 327–352. https://doi.org/10.1037/0033-295X.84.4.327</w:t>
      </w:r>
    </w:p>
    <w:p>
      <w:pPr>
        <w:spacing w:before="0" w:after="120"/>
        <w:ind w:left="720" w:hanging="720"/>
        <w:jc w:val="both"/>
      </w:pPr>
      <w:r>
        <w:rPr>
          <w:rFonts w:ascii="Georgia" w:cs="Georgia" w:eastAsia="Georgia" w:hAnsi="Georgia"/>
          <w:color w:val="1A1A1A"/>
          <w:sz w:val="21"/>
          <w:szCs w:val="21"/>
        </w:rPr>
        <w:t xml:space="preserve">Wiggins, G., &amp; McTighe, J. (2005). Understanding by design (2nd ed.). Association for Supervision and Curriculum Development.</w:t>
      </w:r>
    </w:p>
    <w:p>
      <w:pPr>
        <w:spacing w:before="0" w:after="120"/>
        <w:ind w:left="720" w:hanging="720"/>
        <w:jc w:val="both"/>
      </w:pPr>
      <w:r>
        <w:rPr>
          <w:rFonts w:ascii="Georgia" w:cs="Georgia" w:eastAsia="Georgia" w:hAnsi="Georgia"/>
          <w:color w:val="1A1A1A"/>
          <w:sz w:val="21"/>
          <w:szCs w:val="21"/>
        </w:rPr>
        <w:t xml:space="preserve">Zimmerman, B. J. (2000). Self-efficacy: An essential motive to learn. Contemporary Educational Psychology, 25(1), 82–91. https://doi.org/10.1006/ceps.1999.1016</w:t>
      </w:r>
    </w:p>
    <w:p>
      <w:pPr>
        <w:spacing w:before="0" w:after="200"/>
      </w:pPr>
    </w:p>
    <w:p>
      <w:pPr>
        <w:pBdr>
          <w:bottom w:val="single" w:color="2E75B6" w:sz="4" w:space="1"/>
        </w:pBdr>
        <w:spacing w:before="0" w:after="160"/>
      </w:pPr>
    </w:p>
    <w:p>
      <w:pPr>
        <w:spacing w:before="160" w:after="0"/>
        <w:jc w:val="right"/>
      </w:pPr>
      <w:r>
        <w:rPr>
          <w:rFonts w:ascii="Arial" w:cs="Arial" w:eastAsia="Arial" w:hAnsi="Arial"/>
          <w:i/>
          <w:iCs/>
          <w:color w:val="BBBBBB"/>
          <w:sz w:val="17"/>
          <w:szCs w:val="17"/>
        </w:rPr>
        <w:t xml:space="preserve">Open University of Germany  ·  Equity by Design  ·  Working Paper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abstractNum w:abstractNumId="3" w15:restartNumberingAfterBreak="0">
    <w:multiLevelType w:val="hybridMultilevel"/>
    <w:lvl w:ilvl="0" w15:tentative="1">
      <w:start w:val="1"/>
      <w:numFmt w:val="decimal"/>
      <w:lvlText w:val="%1."/>
      <w:lvlJc w:val="left"/>
      <w:pPr>
        <w:ind w:left="560" w:hanging="280"/>
      </w:pPr>
      <w:rPr>
        <w:rFonts w:ascii="Georgia" w:cs="Georgia" w:eastAsia="Georgia" w:hAnsi="Georgia"/>
        <w:b/>
        <w:bCs/>
        <w:color w:val="1F3864"/>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 w:type="paragraph" w:styleId="Heading3">
    <w:name w:val="Heading 3"/>
    <w:basedOn w:val="Normal"/>
    <w:next w:val="Normal"/>
    <w:qFormat/>
    <w:pPr>
      <w:spacing w:before="240" w:after="8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2026-03-27T04:16:23.784Z</dcterms:created>
  <dcterms:modified xsi:type="dcterms:W3CDTF">2026-03-27T04:16:23.785Z</dcterms:modified>
</cp:coreProperties>
</file>

<file path=docProps/custom.xml><?xml version="1.0" encoding="utf-8"?>
<Properties xmlns="http://schemas.openxmlformats.org/officeDocument/2006/custom-properties" xmlns:vt="http://schemas.openxmlformats.org/officeDocument/2006/docPropsVTypes"/>
</file>