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2E75B6"/>
          <w:sz w:val="17"/>
          <w:szCs w:val="17"/>
        </w:rPr>
        <w:t xml:space="preserve">OPEN UNIVERSITY OF GERMANY  ·  DIGITAL HEALTH HUB</w:t>
      </w:r>
    </w:p>
    <w:p>
      <w:pPr>
        <w:spacing w:before="0" w:after="60"/>
      </w:pPr>
      <w:r>
        <w:rPr>
          <w:rFonts w:ascii="Arial" w:cs="Arial" w:eastAsia="Arial" w:hAnsi="Arial"/>
          <w:color w:val="AAAAAA"/>
          <w:sz w:val="17"/>
          <w:szCs w:val="17"/>
        </w:rPr>
        <w:t xml:space="preserve">Programme Accreditation Document  ·  2026</w:t>
      </w:r>
    </w:p>
    <w:p>
      <w:pPr>
        <w:pBdr>
          <w:bottom w:val="single" w:color="2E75B6" w:sz="10" w:space="1"/>
        </w:pBdr>
        <w:spacing w:before="0" w:after="280"/>
      </w:pPr>
    </w:p>
    <w:p>
      <w:pPr>
        <w:spacing w:before="0" w:after="60"/>
      </w:pPr>
      <w:r>
        <w:rPr>
          <w:rFonts w:ascii="Arial" w:cs="Arial" w:eastAsia="Arial" w:hAnsi="Arial"/>
          <w:b/>
          <w:bCs/>
          <w:caps/>
          <w:color w:val="2E75B6"/>
          <w:sz w:val="16"/>
          <w:szCs w:val="16"/>
        </w:rPr>
        <w:t xml:space="preserve">NEW STUDY</w:t>
      </w:r>
    </w:p>
    <w:p>
      <w:pPr>
        <w:spacing w:before="0" w:after="60"/>
      </w:pPr>
      <w:r>
        <w:rPr>
          <w:rFonts w:ascii="Georgia" w:cs="Georgia" w:eastAsia="Georgia" w:hAnsi="Georgia"/>
          <w:b/>
          <w:bCs/>
          <w:color w:val="0D1F3C"/>
          <w:sz w:val="54"/>
          <w:szCs w:val="54"/>
        </w:rPr>
        <w:t xml:space="preserve">B.Sc. Computer Science</w:t>
      </w:r>
    </w:p>
    <w:p>
      <w:pPr>
        <w:spacing w:before="0" w:after="60"/>
      </w:pPr>
      <w:r>
        <w:rPr>
          <w:rFonts w:ascii="Georgia" w:cs="Georgia" w:eastAsia="Georgia" w:hAnsi="Georgia"/>
          <w:b w:val="false"/>
          <w:bCs w:val="false"/>
          <w:color w:val="1A6B5C"/>
          <w:sz w:val="30"/>
          <w:szCs w:val="30"/>
        </w:rPr>
        <w:t xml:space="preserve">Digital Health Hub</w:t>
      </w:r>
    </w:p>
    <w:p>
      <w:pPr>
        <w:spacing w:before="0" w:after="280"/>
      </w:pPr>
      <w:r>
        <w:rPr>
          <w:rFonts w:ascii="Georgia" w:cs="Georgia" w:eastAsia="Georgia" w:hAnsi="Georgia"/>
          <w:i/>
          <w:iCs/>
          <w:color w:val="2E75B6"/>
          <w:sz w:val="24"/>
          <w:szCs w:val="24"/>
        </w:rPr>
        <w:t xml:space="preserve">A stackable, modular Bachelor's programme in Computer Science — each module a micro-credential, each stack a pathway, the full stack a degree.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before="0" w:after="80"/>
            </w:pPr>
            <w:r>
              <w:rPr>
                <w:rFonts w:ascii="Arial" w:cs="Arial" w:eastAsia="Arial" w:hAnsi="Arial"/>
                <w:b/>
                <w:bCs/>
                <w:caps/>
                <w:color w:val="1F3864"/>
                <w:sz w:val="19"/>
                <w:szCs w:val="19"/>
              </w:rPr>
              <w:t xml:space="preserve">Programme at a Glance</w:t>
            </w:r>
          </w:p>
          <w:p>
            <w:pPr>
              <w:spacing w:before="0" w:after="50"/>
            </w:pPr>
            <w:r>
              <w:rPr>
                <w:rFonts w:ascii="Arial" w:cs="Arial" w:eastAsia="Arial" w:hAnsi="Arial"/>
                <w:b/>
                <w:bCs/>
                <w:color w:val="1F3864"/>
                <w:sz w:val="19"/>
                <w:szCs w:val="19"/>
              </w:rPr>
              <w:t xml:space="preserve">Degree:  </w:t>
            </w:r>
            <w:r>
              <w:rPr>
                <w:rFonts w:ascii="Georgia" w:cs="Georgia" w:eastAsia="Georgia" w:hAnsi="Georgia"/>
                <w:color w:val="1A1A1A"/>
                <w:sz w:val="21"/>
                <w:szCs w:val="21"/>
              </w:rPr>
              <w:t xml:space="preserve">Bachelor of Science (B.Sc.) Computer Science</w:t>
            </w:r>
          </w:p>
          <w:p>
            <w:pPr>
              <w:spacing w:before="0" w:after="50"/>
            </w:pPr>
            <w:r>
              <w:rPr>
                <w:rFonts w:ascii="Arial" w:cs="Arial" w:eastAsia="Arial" w:hAnsi="Arial"/>
                <w:b/>
                <w:bCs/>
                <w:color w:val="1F3864"/>
                <w:sz w:val="19"/>
                <w:szCs w:val="19"/>
              </w:rPr>
              <w:t xml:space="preserve">Total ECTS:  </w:t>
            </w:r>
            <w:r>
              <w:rPr>
                <w:rFonts w:ascii="Georgia" w:cs="Georgia" w:eastAsia="Georgia" w:hAnsi="Georgia"/>
                <w:color w:val="1A1A1A"/>
                <w:sz w:val="21"/>
                <w:szCs w:val="21"/>
              </w:rPr>
              <w:t xml:space="preserve">180 ECTS  (160 stream modules + 10 Capstone + 10 Thesis)</w:t>
            </w:r>
          </w:p>
          <w:p>
            <w:pPr>
              <w:spacing w:before="0" w:after="50"/>
            </w:pPr>
            <w:r>
              <w:rPr>
                <w:rFonts w:ascii="Arial" w:cs="Arial" w:eastAsia="Arial" w:hAnsi="Arial"/>
                <w:b/>
                <w:bCs/>
                <w:color w:val="1F3864"/>
                <w:sz w:val="19"/>
                <w:szCs w:val="19"/>
              </w:rPr>
              <w:t xml:space="preserve">Mode:  </w:t>
            </w:r>
            <w:r>
              <w:rPr>
                <w:rFonts w:ascii="Georgia" w:cs="Georgia" w:eastAsia="Georgia" w:hAnsi="Georgia"/>
                <w:color w:val="1A1A1A"/>
                <w:sz w:val="21"/>
                <w:szCs w:val="21"/>
              </w:rPr>
              <w:t xml:space="preserve">Fully online, modular, asynchronous-first with in-person intensives</w:t>
            </w:r>
          </w:p>
          <w:p>
            <w:pPr>
              <w:spacing w:before="0" w:after="50"/>
            </w:pPr>
            <w:r>
              <w:rPr>
                <w:rFonts w:ascii="Arial" w:cs="Arial" w:eastAsia="Arial" w:hAnsi="Arial"/>
                <w:b/>
                <w:bCs/>
                <w:color w:val="1F3864"/>
                <w:sz w:val="19"/>
                <w:szCs w:val="19"/>
              </w:rPr>
              <w:t xml:space="preserve">Duration:  </w:t>
            </w:r>
            <w:r>
              <w:rPr>
                <w:rFonts w:ascii="Georgia" w:cs="Georgia" w:eastAsia="Georgia" w:hAnsi="Georgia"/>
                <w:color w:val="1A1A1A"/>
                <w:sz w:val="21"/>
                <w:szCs w:val="21"/>
              </w:rPr>
              <w:t xml:space="preserve">Flexible — typically 6–8 semesters part-time; faster pathways available</w:t>
            </w:r>
          </w:p>
          <w:p>
            <w:pPr>
              <w:spacing w:before="0" w:after="50"/>
            </w:pPr>
            <w:r>
              <w:rPr>
                <w:rFonts w:ascii="Arial" w:cs="Arial" w:eastAsia="Arial" w:hAnsi="Arial"/>
                <w:b/>
                <w:bCs/>
                <w:color w:val="1F3864"/>
                <w:sz w:val="19"/>
                <w:szCs w:val="19"/>
              </w:rPr>
              <w:t xml:space="preserve">Language:  </w:t>
            </w:r>
            <w:r>
              <w:rPr>
                <w:rFonts w:ascii="Georgia" w:cs="Georgia" w:eastAsia="Georgia" w:hAnsi="Georgia"/>
                <w:color w:val="1A1A1A"/>
                <w:sz w:val="21"/>
                <w:szCs w:val="21"/>
              </w:rPr>
              <w:t xml:space="preserve">English (primary); German optional per module</w:t>
            </w:r>
          </w:p>
          <w:p>
            <w:pPr>
              <w:spacing w:before="0" w:after="50"/>
            </w:pPr>
            <w:r>
              <w:rPr>
                <w:rFonts w:ascii="Arial" w:cs="Arial" w:eastAsia="Arial" w:hAnsi="Arial"/>
                <w:b/>
                <w:bCs/>
                <w:color w:val="1F3864"/>
                <w:sz w:val="19"/>
                <w:szCs w:val="19"/>
              </w:rPr>
              <w:t xml:space="preserve">Hub:  </w:t>
            </w:r>
            <w:r>
              <w:rPr>
                <w:rFonts w:ascii="Georgia" w:cs="Georgia" w:eastAsia="Georgia" w:hAnsi="Georgia"/>
                <w:color w:val="1A1A1A"/>
                <w:sz w:val="21"/>
                <w:szCs w:val="21"/>
              </w:rPr>
              <w:t xml:space="preserve">Digital Health Hub — OUG</w:t>
            </w:r>
          </w:p>
          <w:p>
            <w:pPr>
              <w:spacing w:before="0" w:after="50"/>
            </w:pPr>
            <w:r>
              <w:rPr>
                <w:rFonts w:ascii="Arial" w:cs="Arial" w:eastAsia="Arial" w:hAnsi="Arial"/>
                <w:b/>
                <w:bCs/>
                <w:color w:val="1F3864"/>
                <w:sz w:val="19"/>
                <w:szCs w:val="19"/>
              </w:rPr>
              <w:t xml:space="preserve">Adoption basis:  </w:t>
            </w:r>
            <w:r>
              <w:rPr>
                <w:rFonts w:ascii="Georgia" w:cs="Georgia" w:eastAsia="Georgia" w:hAnsi="Georgia"/>
                <w:color w:val="1A1A1A"/>
                <w:sz w:val="21"/>
                <w:szCs w:val="21"/>
              </w:rPr>
              <w:t xml:space="preserve">Adopted 1:1 from DHBW New Study (&gt;80% shared learning outcomes); OUG governance applies</w:t>
            </w:r>
          </w:p>
          <w:p>
            <w:pPr>
              <w:spacing w:before="0" w:after="50"/>
            </w:pPr>
            <w:r>
              <w:rPr>
                <w:rFonts w:ascii="Arial" w:cs="Arial" w:eastAsia="Arial" w:hAnsi="Arial"/>
                <w:b/>
                <w:bCs/>
                <w:color w:val="1F3864"/>
                <w:sz w:val="19"/>
                <w:szCs w:val="19"/>
              </w:rPr>
              <w:t xml:space="preserve">Microcredentials:  </w:t>
            </w:r>
            <w:r>
              <w:rPr>
                <w:rFonts w:ascii="Georgia" w:cs="Georgia" w:eastAsia="Georgia" w:hAnsi="Georgia"/>
                <w:color w:val="1A1A1A"/>
                <w:sz w:val="21"/>
                <w:szCs w:val="21"/>
              </w:rPr>
              <w:t xml:space="preserve">Every module (5 ECTS) is a standalone micro-credential, Europass-eligible</w:t>
            </w:r>
          </w:p>
          <w:p>
            <w:pPr>
              <w:spacing w:before="0" w:after="50"/>
            </w:pPr>
            <w:r>
              <w:rPr>
                <w:rFonts w:ascii="Arial" w:cs="Arial" w:eastAsia="Arial" w:hAnsi="Arial"/>
                <w:b/>
                <w:bCs/>
                <w:color w:val="1F3864"/>
                <w:sz w:val="19"/>
                <w:szCs w:val="19"/>
              </w:rPr>
              <w:t xml:space="preserve">Interoperability:  </w:t>
            </w:r>
            <w:r>
              <w:rPr>
                <w:rFonts w:ascii="Georgia" w:cs="Georgia" w:eastAsia="Georgia" w:hAnsi="Georgia"/>
                <w:color w:val="1A1A1A"/>
                <w:sz w:val="21"/>
                <w:szCs w:val="21"/>
              </w:rPr>
              <w:t xml:space="preserve">OOAPI v5 compliant; European Learning Model (ELM); Europass Digital Credentials</w:t>
            </w:r>
          </w:p>
          <w:p>
            <w:pPr>
              <w:spacing w:before="0" w:after="50"/>
            </w:pPr>
            <w:r>
              <w:rPr>
                <w:rFonts w:ascii="Arial" w:cs="Arial" w:eastAsia="Arial" w:hAnsi="Arial"/>
                <w:b/>
                <w:bCs/>
                <w:color w:val="1F3864"/>
                <w:sz w:val="19"/>
                <w:szCs w:val="19"/>
              </w:rPr>
              <w:t xml:space="preserve">Access route:  </w:t>
            </w:r>
            <w:r>
              <w:rPr>
                <w:rFonts w:ascii="Georgia" w:cs="Georgia" w:eastAsia="Georgia" w:hAnsi="Georgia"/>
                <w:color w:val="1A1A1A"/>
                <w:sz w:val="21"/>
                <w:szCs w:val="21"/>
              </w:rPr>
              <w:t xml:space="preserve">OUG students enrol with OUG; attend DHBW/partner classes under OUG rules; degree awarded by OUG</w:t>
            </w:r>
          </w:p>
        </w:tc>
      </w:tr>
    </w:tbl>
    <w:p>
      <w:pPr>
        <w:spacing w:before="0" w:after="300"/>
      </w:pPr>
    </w:p>
    <w:p>
      <w:pPr>
        <w:pStyle w:val="Heading1"/>
        <w:spacing w:before="480" w:after="140"/>
      </w:pPr>
      <w:r>
        <w:rPr>
          <w:rFonts w:ascii="Georgia" w:cs="Georgia" w:eastAsia="Georgia" w:hAnsi="Georgia"/>
          <w:b/>
          <w:bCs/>
          <w:color w:val="1F3864"/>
          <w:sz w:val="30"/>
          <w:szCs w:val="30"/>
        </w:rPr>
        <w:t xml:space="preserve">I.  Programme Rationale</w:t>
      </w:r>
    </w:p>
    <w:p>
      <w:pPr>
        <w:spacing w:before="0" w:after="185"/>
        <w:ind/>
        <w:jc w:val="both"/>
      </w:pPr>
      <w:r>
        <w:rPr>
          <w:rFonts w:ascii="Georgia" w:cs="Georgia" w:eastAsia="Georgia" w:hAnsi="Georgia"/>
          <w:b w:val="false"/>
          <w:bCs w:val="false"/>
          <w:i w:val="false"/>
          <w:iCs w:val="false"/>
          <w:color w:val="1A1A1A"/>
          <w:sz w:val="23"/>
          <w:szCs w:val="23"/>
        </w:rPr>
        <w:t xml:space="preserve">Computer Science in the Digital Health context is one of the most consequential fields for Germany's near-term future. The healthcare sector is undergoing a digital transformation of fundamental scope — from electronic patient records and clinical decision support systems to AI-driven diagnostics and distributed health data infrastructures. This transformation requires professionals who combine deep technical competence with an understanding of the human, ethical, and organisational dimensions of health systems.</w:t>
      </w:r>
    </w:p>
    <w:p>
      <w:pPr>
        <w:spacing w:before="0" w:after="185"/>
        <w:ind/>
        <w:jc w:val="both"/>
      </w:pPr>
      <w:r>
        <w:rPr>
          <w:rFonts w:ascii="Georgia" w:cs="Georgia" w:eastAsia="Georgia" w:hAnsi="Georgia"/>
          <w:b w:val="false"/>
          <w:bCs w:val="false"/>
          <w:i w:val="false"/>
          <w:iCs w:val="false"/>
          <w:color w:val="1A1A1A"/>
          <w:sz w:val="23"/>
          <w:szCs w:val="23"/>
        </w:rPr>
        <w:t xml:space="preserve">The New Study programme was developed at DHBW in response to exactly this need. It is a rigorously designed, competency-based Bachelor's programme that integrates foundational computer science theory with practical software construction, data and AI skills, and explicit attention to the societal and professional dimensions of computing. The OUG adopts this programme without modification of its academic content, under a partnership arrangement that allows OUG-enrolled students to attend DHBW classes while receiving their degree from OUG.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2E75B6"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adoption model is legally and academically clean: DHBW delivers the teaching, OUG awards the degree, and the quality of both is governed by their respective accreditation frameworks. OUG students are governed by OUG rules — its Prüfungsordnung, its student rights charter, its modular credit system — while accessing DHBW's established teaching infrastructure.</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What makes this programme architecturally significant for the OUG's accreditation case is not just its content — it is its design. New Study was built from the beginning on a modular, stackable principle: every module is 5 ECTS, self-contained, and assessable as a standalone micro-credential. Students who complete a cluster of related modules receive a stack certificate. When they have accumulated sufficient stacks across streams, the door to the Bachelor Thesis and Capstone opens. The degree is earned by accumulation — a genuinely novel pathway structure that is simultaneously more accessible and more rigorous than a traditional fixed-cohort programme.</w:t>
      </w:r>
    </w:p>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II.  The Stacking Model: From Micro-credential to Bachelor</w:t>
      </w:r>
    </w:p>
    <w:p>
      <w:pPr>
        <w:spacing w:before="0" w:after="185"/>
        <w:ind/>
        <w:jc w:val="both"/>
      </w:pPr>
      <w:r>
        <w:rPr>
          <w:rFonts w:ascii="Georgia" w:cs="Georgia" w:eastAsia="Georgia" w:hAnsi="Georgia"/>
          <w:b w:val="false"/>
          <w:bCs w:val="false"/>
          <w:i w:val="false"/>
          <w:iCs w:val="false"/>
          <w:color w:val="1A1A1A"/>
          <w:sz w:val="23"/>
          <w:szCs w:val="23"/>
        </w:rPr>
        <w:t xml:space="preserve">The New Study programme is built on a stacking principle that is structurally distinct from traditional degree programmes and represents the OUG's approach to lifelong learning made concrete. Understanding this model is essential for accreditation reviewers assessing how the programme functions.</w:t>
      </w:r>
    </w:p>
    <w:p>
      <w:pPr>
        <w:spacing w:before="0" w:after="80"/>
      </w:pPr>
    </w:p>
    <w:p>
      <w:pPr>
        <w:pStyle w:val="Heading2"/>
        <w:spacing w:before="320" w:after="100"/>
      </w:pPr>
      <w:r>
        <w:rPr>
          <w:rFonts w:ascii="Georgia" w:cs="Georgia" w:eastAsia="Georgia" w:hAnsi="Georgia"/>
          <w:b/>
          <w:bCs/>
          <w:color w:val="2E75B6"/>
          <w:sz w:val="25"/>
          <w:szCs w:val="25"/>
        </w:rPr>
        <w:t xml:space="preserve">The Three Levels of the Stack</w:t>
      </w:r>
    </w:p>
    <w:p>
      <w:pPr>
        <w:spacing w:before="0" w:after="185"/>
        <w:jc w:val="both"/>
      </w:pPr>
      <w:r>
        <w:rPr>
          <w:rFonts w:ascii="Georgia" w:cs="Georgia" w:eastAsia="Georgia" w:hAnsi="Georgia"/>
          <w:b/>
          <w:bCs/>
          <w:i w:val="false"/>
          <w:iCs w:val="false"/>
          <w:color w:val="1A1A1A"/>
          <w:sz w:val="23"/>
          <w:szCs w:val="23"/>
        </w:rPr>
        <w:t xml:space="preserve">Level 1 — Module / Micro-credential: </w:t>
      </w:r>
      <w:r>
        <w:rPr>
          <w:rFonts w:ascii="Georgia" w:cs="Georgia" w:eastAsia="Georgia" w:hAnsi="Georgia"/>
          <w:b w:val="false"/>
          <w:bCs w:val="false"/>
          <w:i w:val="false"/>
          <w:iCs w:val="false"/>
          <w:color w:val="1A1A1A"/>
          <w:sz w:val="23"/>
          <w:szCs w:val="23"/>
        </w:rPr>
        <w:t xml:space="preserve">Every module is 5 ECTS. Every completed module earns a micro-credential — a digitally signed, Europass-compatible certificate documenting the specific competencies acquired. Micro-credentials are portable: they can be submitted to employers, recognised by other institutions, or aggregated toward higher qualifications. Each module has defined learning outcomes mapped to the European Qualifications Framework (EQF) and to ESCO skill taxonomies.</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Level 2 — Stream Stack: </w:t>
      </w:r>
      <w:r>
        <w:rPr>
          <w:rFonts w:ascii="Georgia" w:cs="Georgia" w:eastAsia="Georgia" w:hAnsi="Georgia"/>
          <w:b w:val="false"/>
          <w:bCs w:val="false"/>
          <w:i w:val="false"/>
          <w:iCs w:val="false"/>
          <w:color w:val="1A1A1A"/>
          <w:sz w:val="23"/>
          <w:szCs w:val="23"/>
        </w:rPr>
        <w:t xml:space="preserve">Each of the six streams in the programme constitutes a coherent Stack — a cluster of related modules that together develop a specific competency profile. A student who completes all modules in the Data, AI &amp; Intelligent Systems stream, for example, receives an AI Stack certificate, even if they have not yet completed modules from other streams. Stacks are valuable standalone qualifications for professionals who need deep expertise in one domain.</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Level 3 — Bachelor Degree: </w:t>
      </w:r>
      <w:r>
        <w:rPr>
          <w:rFonts w:ascii="Georgia" w:cs="Georgia" w:eastAsia="Georgia" w:hAnsi="Georgia"/>
          <w:b w:val="false"/>
          <w:bCs w:val="false"/>
          <w:i w:val="false"/>
          <w:iCs w:val="false"/>
          <w:color w:val="1A1A1A"/>
          <w:sz w:val="23"/>
          <w:szCs w:val="23"/>
        </w:rPr>
        <w:t xml:space="preserve">When a student has accumulated modules across streams meeting the threshold requirements (see Section III), has completed the Capstone Project, and has submitted and passed the Bachelor Thesis, they are awarded the B.Sc. Computer Science (Digital Health Hub) by the OUG. The degree certifies not just disciplinary depth but interdisciplinary integration — the combination of streams is what produces a computer scientist, not any single stream alone.</w:t>
      </w:r>
    </w:p>
    <w:p>
      <w:pPr>
        <w:spacing w:before="0" w:after="80"/>
      </w:pPr>
    </w:p>
    <w:p>
      <w:pPr>
        <w:pStyle w:val="Heading2"/>
        <w:spacing w:before="320" w:after="100"/>
      </w:pPr>
      <w:r>
        <w:rPr>
          <w:rFonts w:ascii="Georgia" w:cs="Georgia" w:eastAsia="Georgia" w:hAnsi="Georgia"/>
          <w:b/>
          <w:bCs/>
          <w:color w:val="2E75B6"/>
          <w:sz w:val="25"/>
          <w:szCs w:val="25"/>
        </w:rPr>
        <w:t xml:space="preserve">Europass Integration</w:t>
      </w:r>
    </w:p>
    <w:p>
      <w:pPr>
        <w:spacing w:before="0" w:after="185"/>
        <w:ind/>
        <w:jc w:val="both"/>
      </w:pPr>
      <w:r>
        <w:rPr>
          <w:rFonts w:ascii="Georgia" w:cs="Georgia" w:eastAsia="Georgia" w:hAnsi="Georgia"/>
          <w:b w:val="false"/>
          <w:bCs w:val="false"/>
          <w:i w:val="false"/>
          <w:iCs w:val="false"/>
          <w:color w:val="1A1A1A"/>
          <w:sz w:val="23"/>
          <w:szCs w:val="23"/>
        </w:rPr>
        <w:t xml:space="preserve">Every module completion at OUG triggers the issuance of a European Digital Credential (EDC) through Europass. The credential contains: the module title and code, the ECTS value, the specific learning outcomes achieved, the assessment method and grade, the issuing institution (OUG), and the date of award. Credentials are issued to the student's Europass wallet and are machine-readable, tamper-proof, and verifiable by any employer or institution in the EU.</w:t>
      </w:r>
    </w:p>
    <w:p>
      <w:pPr>
        <w:spacing w:before="0" w:after="185"/>
        <w:ind/>
        <w:jc w:val="both"/>
      </w:pPr>
      <w:r>
        <w:rPr>
          <w:rFonts w:ascii="Georgia" w:cs="Georgia" w:eastAsia="Georgia" w:hAnsi="Georgia"/>
          <w:b w:val="false"/>
          <w:bCs w:val="false"/>
          <w:i w:val="false"/>
          <w:iCs w:val="false"/>
          <w:color w:val="1A1A1A"/>
          <w:sz w:val="23"/>
          <w:szCs w:val="23"/>
        </w:rPr>
        <w:t xml:space="preserve">This integration means that OUG students build a verifiable, portable record of their competencies throughout their studies — not only at the end. A student who completes ten modules and then pauses their studies has ten documented credentials. A professional who takes three modules for upskilling purposes has three credentials that go directly into their professional record. The degree, when awarded, is an EDC that aggregates all previous credentials.</w:t>
      </w:r>
    </w:p>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III.  Degree Requirements and the Threshold Principle</w:t>
      </w:r>
    </w:p>
    <w:p>
      <w:pPr>
        <w:spacing w:before="0" w:after="185"/>
        <w:ind/>
        <w:jc w:val="both"/>
      </w:pPr>
      <w:r>
        <w:rPr>
          <w:rFonts w:ascii="Georgia" w:cs="Georgia" w:eastAsia="Georgia" w:hAnsi="Georgia"/>
          <w:b w:val="false"/>
          <w:bCs w:val="false"/>
          <w:i w:val="false"/>
          <w:iCs w:val="false"/>
          <w:color w:val="1A1A1A"/>
          <w:sz w:val="23"/>
          <w:szCs w:val="23"/>
        </w:rPr>
        <w:t xml:space="preserve">The New Study programme does not follow a fixed module sequence. Students choose their entry points, pace, and progression through streams based on their prior knowledge, professional context, and learning goals. The Threshold Principle defines the conditions under which the Bachelor pathway — Capstone and Thesis — becomes accessible.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w:tc>
          <w:tcPr>
            <w:tcW w:type="dxa" w:w="2200"/>
            <w:tcBorders>
              <w:top w:val="single" w:color="DDDDDD" w:sz="1"/>
              <w:left w:val="single" w:color="DDDDDD" w:sz="1"/>
              <w:bottom w:val="single" w:color="DDDDDD" w:sz="1"/>
              <w:right w:val="single" w:color="DDDDDD" w:sz="1"/>
            </w:tcBorders>
            <w:shd w:fill="0D1F3C" w:val="clear"/>
            <w:tcMar>
              <w:top w:type="dxa" w:w="80"/>
              <w:left w:type="dxa" w:w="140"/>
              <w:bottom w:type="dxa" w:w="80"/>
              <w:right w:type="dxa" w:w="100"/>
            </w:tcMar>
          </w:tcPr>
          <w:p>
            <w:r>
              <w:rPr>
                <w:rFonts w:ascii="Arial" w:cs="Arial" w:eastAsia="Arial" w:hAnsi="Arial"/>
                <w:b/>
                <w:bCs/>
                <w:color w:val="FFFFFF"/>
                <w:sz w:val="17"/>
                <w:szCs w:val="17"/>
              </w:rPr>
              <w:t xml:space="preserve">Stage</w:t>
            </w:r>
          </w:p>
        </w:tc>
        <w:tc>
          <w:tcPr>
            <w:tcW w:type="dxa" w:w="3613"/>
            <w:tcBorders>
              <w:top w:val="single" w:color="DDDDDD" w:sz="1"/>
              <w:left w:val="single" w:color="DDDDDD" w:sz="1"/>
              <w:bottom w:val="single" w:color="DDDDDD" w:sz="1"/>
              <w:right w:val="single" w:color="DDDDDD" w:sz="1"/>
            </w:tcBorders>
            <w:shd w:fill="0D1F3C" w:val="clear"/>
            <w:tcMar>
              <w:top w:type="dxa" w:w="80"/>
              <w:left w:type="dxa" w:w="140"/>
              <w:bottom w:type="dxa" w:w="80"/>
              <w:right w:type="dxa" w:w="100"/>
            </w:tcMar>
          </w:tcPr>
          <w:p>
            <w:r>
              <w:rPr>
                <w:rFonts w:ascii="Arial" w:cs="Arial" w:eastAsia="Arial" w:hAnsi="Arial"/>
                <w:b/>
                <w:bCs/>
                <w:color w:val="FFFFFF"/>
                <w:sz w:val="17"/>
                <w:szCs w:val="17"/>
              </w:rPr>
              <w:t xml:space="preserve">Requirement</w:t>
            </w:r>
          </w:p>
        </w:tc>
        <w:tc>
          <w:tcPr>
            <w:tcW w:type="dxa" w:w="3213"/>
            <w:tcBorders>
              <w:top w:val="single" w:color="DDDDDD" w:sz="1"/>
              <w:left w:val="single" w:color="DDDDDD" w:sz="1"/>
              <w:bottom w:val="single" w:color="DDDDDD" w:sz="1"/>
              <w:right w:val="single" w:color="DDDDDD" w:sz="1"/>
            </w:tcBorders>
            <w:shd w:fill="0D1F3C" w:val="clear"/>
            <w:tcMar>
              <w:top w:type="dxa" w:w="80"/>
              <w:left w:type="dxa" w:w="140"/>
              <w:bottom w:type="dxa" w:w="80"/>
              <w:right w:type="dxa" w:w="100"/>
            </w:tcMar>
          </w:tcPr>
          <w:p>
            <w:r>
              <w:rPr>
                <w:rFonts w:ascii="Arial" w:cs="Arial" w:eastAsia="Arial" w:hAnsi="Arial"/>
                <w:b/>
                <w:bCs/>
                <w:color w:val="FFFFFF"/>
                <w:sz w:val="17"/>
                <w:szCs w:val="17"/>
              </w:rPr>
              <w:t xml:space="preserve">Outcome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8"/>
                <w:szCs w:val="18"/>
              </w:rPr>
              <w:t xml:space="preserve">Entry</w:t>
            </w:r>
          </w:p>
        </w:tc>
        <w:tc>
          <w:tcPr>
            <w:tcW w:type="dxa" w:w="36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Completion of any module with no formal prerequisites. No minimum qualification required beyond standard university entrance (Hochschulzugangsberechtigung or equivalent). Prior learning recognition available.</w:t>
            </w:r>
          </w:p>
        </w:tc>
        <w:tc>
          <w:tcPr>
            <w:tcW w:type="dxa" w:w="32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Module micro-credential issued; ECTS accrued; Europass credential published.</w:t>
            </w:r>
          </w:p>
        </w:tc>
      </w:tr>
      <w:tr>
        <w:tc>
          <w:tcPr>
            <w:tcW w:type="dxa" w:w="22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8"/>
                <w:szCs w:val="18"/>
              </w:rPr>
              <w:t xml:space="preserve">Stack Completion</w:t>
            </w:r>
          </w:p>
        </w:tc>
        <w:tc>
          <w:tcPr>
            <w:tcW w:type="dxa" w:w="36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All modules within a stream completed. Stream-specific competency thresholds met across the three learning levels (L1: Knowledge, L2: Application, L3: Synthesis).</w:t>
            </w:r>
          </w:p>
        </w:tc>
        <w:tc>
          <w:tcPr>
            <w:tcW w:type="dxa" w:w="32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Stream Stack Certificate issued. Counts toward degree threshold.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8"/>
                <w:szCs w:val="18"/>
              </w:rPr>
              <w:t xml:space="preserve">Threshold for Capstone</w:t>
            </w:r>
          </w:p>
        </w:tc>
        <w:tc>
          <w:tcPr>
            <w:tcW w:type="dxa" w:w="36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Minimum 120 ECTS completed across at least 4 streams, including at least one module from each of: Mathematical &amp; Algorithmic Foundations, Programming &amp; Software Construction, and Research, Professional &amp; Societal Practice.</w:t>
            </w:r>
          </w:p>
        </w:tc>
        <w:tc>
          <w:tcPr>
            <w:tcW w:type="dxa" w:w="32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Eligibility for Capstone Project registration unlocked.</w:t>
            </w:r>
          </w:p>
        </w:tc>
      </w:tr>
      <w:tr>
        <w:tc>
          <w:tcPr>
            <w:tcW w:type="dxa" w:w="22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8"/>
                <w:szCs w:val="18"/>
              </w:rPr>
              <w:t xml:space="preserve">Capstone Project</w:t>
            </w:r>
          </w:p>
        </w:tc>
        <w:tc>
          <w:tcPr>
            <w:tcW w:type="dxa" w:w="36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10 ECTS project demonstrating integrative application of competencies across streams. Evaluated by multidisciplinary panel. Minimum grade: sufficient (ausreichend, 4.0).</w:t>
            </w:r>
          </w:p>
        </w:tc>
        <w:tc>
          <w:tcPr>
            <w:tcW w:type="dxa" w:w="32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Capstone Certificate issued. Thesis eligibility unlocked.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8"/>
                <w:szCs w:val="18"/>
              </w:rPr>
              <w:t xml:space="preserve">Threshold for Thesis</w:t>
            </w:r>
          </w:p>
        </w:tc>
        <w:tc>
          <w:tcPr>
            <w:tcW w:type="dxa" w:w="36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All 150 ECTS stream modules completed (or equivalent through prior learning recognition). Capstone passed.</w:t>
            </w:r>
          </w:p>
        </w:tc>
        <w:tc>
          <w:tcPr>
            <w:tcW w:type="dxa" w:w="3213"/>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Thesis registration open.</w:t>
            </w:r>
          </w:p>
        </w:tc>
      </w:tr>
      <w:tr>
        <w:tc>
          <w:tcPr>
            <w:tcW w:type="dxa" w:w="22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8"/>
                <w:szCs w:val="18"/>
              </w:rPr>
              <w:t xml:space="preserve">Bachelor Thesis</w:t>
            </w:r>
          </w:p>
        </w:tc>
        <w:tc>
          <w:tcPr>
            <w:tcW w:type="dxa" w:w="36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10 ECTS original scholarly work. Supervised by OUG-affiliated academic. Examined by two examiners. Minimum grade: sufficient (4.0).</w:t>
            </w:r>
          </w:p>
        </w:tc>
        <w:tc>
          <w:tcPr>
            <w:tcW w:type="dxa" w:w="3213"/>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B.Sc. Computer Science (Digital Health Hub) awarded. European Digital Credential issued. Europass Diploma Supplement generated.</w:t>
            </w:r>
          </w:p>
        </w:tc>
      </w:tr>
    </w:tbl>
    <w:p>
      <w:pPr>
        <w:spacing w:before="0" w:after="100"/>
      </w:pPr>
    </w:p>
    <w:p>
      <w:pPr>
        <w:pStyle w:val="Heading2"/>
        <w:spacing w:before="320" w:after="100"/>
      </w:pPr>
      <w:r>
        <w:rPr>
          <w:rFonts w:ascii="Georgia" w:cs="Georgia" w:eastAsia="Georgia" w:hAnsi="Georgia"/>
          <w:b/>
          <w:bCs/>
          <w:color w:val="2E75B6"/>
          <w:sz w:val="25"/>
          <w:szCs w:val="25"/>
        </w:rPr>
        <w:t xml:space="preserve">Prior Learning Recognition</w:t>
      </w:r>
    </w:p>
    <w:p>
      <w:pPr>
        <w:spacing w:before="0" w:after="185"/>
        <w:ind/>
        <w:jc w:val="both"/>
      </w:pPr>
      <w:r>
        <w:rPr>
          <w:rFonts w:ascii="Georgia" w:cs="Georgia" w:eastAsia="Georgia" w:hAnsi="Georgia"/>
          <w:b w:val="false"/>
          <w:bCs w:val="false"/>
          <w:i w:val="false"/>
          <w:iCs w:val="false"/>
          <w:color w:val="1A1A1A"/>
          <w:sz w:val="23"/>
          <w:szCs w:val="23"/>
        </w:rPr>
        <w:t xml:space="preserve">The modular, threshold-based structure of New Study is explicitly designed to accommodate prior learning. Professionals who have developed substantial competencies through work experience, other educational programmes, or independent study may apply for credit recognition through the OUG's Assessment &amp; Recognition Committee. Recognition is competency-based, not credential-based: the question is whether the student can demonstrate the learning outcomes of the module, not whether they hold a certificate.</w:t>
      </w:r>
    </w:p>
    <w:p>
      <w:pPr>
        <w:spacing w:before="0" w:after="185"/>
        <w:ind/>
        <w:jc w:val="both"/>
      </w:pPr>
      <w:r>
        <w:rPr>
          <w:rFonts w:ascii="Georgia" w:cs="Georgia" w:eastAsia="Georgia" w:hAnsi="Georgia"/>
          <w:b w:val="false"/>
          <w:bCs w:val="false"/>
          <w:i w:val="false"/>
          <w:iCs w:val="false"/>
          <w:color w:val="1A1A1A"/>
          <w:sz w:val="23"/>
          <w:szCs w:val="23"/>
        </w:rPr>
        <w:t xml:space="preserve">This provision is critical to the OUG's mission. A software engineer with five years of professional experience who has never studied computer science formally may already hold substantial competency across several streams. Recognition allows them to enter the programme at the level their competence warrants, rather than repeating material they already know.</w:t>
      </w:r>
    </w:p>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IV.  Curriculum Structure: Six Streams</w:t>
      </w:r>
    </w:p>
    <w:p>
      <w:pPr>
        <w:spacing w:before="0" w:after="185"/>
        <w:ind/>
        <w:jc w:val="both"/>
      </w:pPr>
      <w:r>
        <w:rPr>
          <w:rFonts w:ascii="Georgia" w:cs="Georgia" w:eastAsia="Georgia" w:hAnsi="Georgia"/>
          <w:b w:val="false"/>
          <w:bCs w:val="false"/>
          <w:i w:val="false"/>
          <w:iCs w:val="false"/>
          <w:color w:val="1A1A1A"/>
          <w:sz w:val="23"/>
          <w:szCs w:val="23"/>
        </w:rPr>
        <w:t xml:space="preserve">The B.Sc. Computer Science programme is organised into six streams, each covering a coherent domain of computer science knowledge and practice. Together the streams produce a graduate who is theoretically grounded, practically skilled, and professionally aware. Total taught curriculum: 160 ECTS across 32 modules. Capstone (10 ECTS) and Thesis (10 ECTS) bring the total to 180 ECTS.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26"/>
        <w:gridCol w:w="1200"/>
        <w:gridCol w:w="1200"/>
        <w:gridCol w:w="1000"/>
      </w:tblGrid>
      <w:tr>
        <w:tc>
          <w:tcPr>
            <w:tcW w:type="dxa" w:w="400"/>
            <w:tcBorders>
              <w:top w:val="single" w:color="DDDDDD" w:sz="1"/>
              <w:left w:val="single" w:color="DDDDDD" w:sz="1"/>
              <w:bottom w:val="single" w:color="DDDDDD" w:sz="1"/>
              <w:right w:val="single" w:color="DDDDDD" w:sz="1"/>
            </w:tcBorders>
            <w:shd w:fill="0D1F3C" w:val="clear"/>
            <w:tcMar>
              <w:top w:type="dxa" w:w="80"/>
              <w:left w:type="dxa" w:w="80"/>
              <w:bottom w:type="dxa" w:w="80"/>
              <w:right w:type="dxa" w:w="60"/>
            </w:tcMar>
          </w:tcPr>
          <w:p>
            <w:pPr>
              <w:jc w:val="center"/>
            </w:pPr>
            <w:r>
              <w:rPr>
                <w:rFonts w:ascii="Arial" w:cs="Arial" w:eastAsia="Arial" w:hAnsi="Arial"/>
                <w:b/>
                <w:bCs/>
                <w:color w:val="FFFFFF"/>
                <w:sz w:val="17"/>
                <w:szCs w:val="17"/>
              </w:rPr>
              <w:t xml:space="preserve">#</w:t>
            </w:r>
          </w:p>
        </w:tc>
        <w:tc>
          <w:tcPr>
            <w:tcW w:type="dxa" w:w="5226"/>
            <w:tcBorders>
              <w:top w:val="single" w:color="DDDDDD" w:sz="1"/>
              <w:left w:val="single" w:color="DDDDDD" w:sz="1"/>
              <w:bottom w:val="single" w:color="DDDDDD" w:sz="1"/>
              <w:right w:val="single" w:color="DDDDDD" w:sz="1"/>
            </w:tcBorders>
            <w:shd w:fill="0D1F3C" w:val="clear"/>
            <w:tcMar>
              <w:top w:type="dxa" w:w="80"/>
              <w:left w:type="dxa" w:w="140"/>
              <w:bottom w:type="dxa" w:w="80"/>
              <w:right w:type="dxa" w:w="100"/>
            </w:tcMar>
          </w:tcPr>
          <w:p>
            <w:r>
              <w:rPr>
                <w:rFonts w:ascii="Arial" w:cs="Arial" w:eastAsia="Arial" w:hAnsi="Arial"/>
                <w:b/>
                <w:bCs/>
                <w:color w:val="FFFFFF"/>
                <w:sz w:val="17"/>
                <w:szCs w:val="17"/>
              </w:rPr>
              <w:t xml:space="preserve">Stream</w:t>
            </w:r>
          </w:p>
        </w:tc>
        <w:tc>
          <w:tcPr>
            <w:tcW w:type="dxa" w:w="1200"/>
            <w:tcBorders>
              <w:top w:val="single" w:color="DDDDDD" w:sz="1"/>
              <w:left w:val="single" w:color="DDDDDD" w:sz="1"/>
              <w:bottom w:val="single" w:color="DDDDDD" w:sz="1"/>
              <w:right w:val="single" w:color="DDDDDD" w:sz="1"/>
            </w:tcBorders>
            <w:shd w:fill="0D1F3C"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Modules</w:t>
            </w:r>
          </w:p>
        </w:tc>
        <w:tc>
          <w:tcPr>
            <w:tcW w:type="dxa" w:w="1200"/>
            <w:tcBorders>
              <w:top w:val="single" w:color="DDDDDD" w:sz="1"/>
              <w:left w:val="single" w:color="DDDDDD" w:sz="1"/>
              <w:bottom w:val="single" w:color="DDDDDD" w:sz="1"/>
              <w:right w:val="single" w:color="DDDDDD" w:sz="1"/>
            </w:tcBorders>
            <w:shd w:fill="0D1F3C"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ECTS</w:t>
            </w:r>
          </w:p>
        </w:tc>
        <w:tc>
          <w:tcPr>
            <w:tcW w:type="dxa" w:w="1000"/>
            <w:tcBorders>
              <w:top w:val="single" w:color="DDDDDD" w:sz="1"/>
              <w:left w:val="single" w:color="DDDDDD" w:sz="1"/>
              <w:bottom w:val="single" w:color="DDDDDD" w:sz="1"/>
              <w:right w:val="single" w:color="DDDDDD" w:sz="1"/>
            </w:tcBorders>
            <w:shd w:fill="0D1F3C"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Hours</w:t>
            </w:r>
          </w:p>
        </w:tc>
      </w:tr>
      <w:tr>
        <w:tc>
          <w:tcPr>
            <w:tcW w:type="dxa" w:w="400"/>
            <w:tcBorders>
              <w:top w:val="single" w:color="DDDDDD" w:sz="1"/>
              <w:left w:val="single" w:color="DDDDDD" w:sz="1"/>
              <w:bottom w:val="single" w:color="DDDDDD" w:sz="1"/>
              <w:right w:val="single" w:color="DDDDDD" w:sz="1"/>
            </w:tcBorders>
            <w:shd w:fill="2A5298" w:val="clear"/>
            <w:tcMar>
              <w:top w:type="dxa" w:w="80"/>
              <w:left w:type="dxa" w:w="80"/>
              <w:bottom w:type="dxa" w:w="80"/>
              <w:right w:type="dxa" w:w="60"/>
            </w:tcMar>
          </w:tcPr>
          <w:p>
            <w:pPr>
              <w:jc w:val="center"/>
            </w:pPr>
            <w:r>
              <w:rPr>
                <w:rFonts w:ascii="Arial" w:cs="Arial" w:eastAsia="Arial" w:hAnsi="Arial"/>
                <w:b/>
                <w:bCs/>
                <w:color w:val="FFFFFF"/>
                <w:sz w:val="14"/>
                <w:szCs w:val="14"/>
              </w:rPr>
              <w:t xml:space="preserve">MAF</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2A5298"/>
                <w:sz w:val="19"/>
                <w:szCs w:val="19"/>
              </w:rPr>
              <w:t xml:space="preserve">Mathematical &amp; Algorithmic Foundations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b/>
                <w:bCs/>
                <w:color w:val="2A5298"/>
                <w:sz w:val="21"/>
                <w:szCs w:val="21"/>
              </w:rPr>
              <w:t xml:space="preserve">30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900</w:t>
            </w:r>
          </w:p>
        </w:tc>
      </w:tr>
      <w:tr>
        <w:tc>
          <w:tcPr>
            <w:tcW w:type="dxa" w:w="400"/>
            <w:tcBorders>
              <w:top w:val="single" w:color="DDDDDD" w:sz="1"/>
              <w:left w:val="single" w:color="DDDDDD" w:sz="1"/>
              <w:bottom w:val="single" w:color="DDDDDD" w:sz="1"/>
              <w:right w:val="single" w:color="DDDDDD" w:sz="1"/>
            </w:tcBorders>
            <w:shd w:fill="1A5C38" w:val="clear"/>
            <w:tcMar>
              <w:top w:type="dxa" w:w="80"/>
              <w:left w:type="dxa" w:w="80"/>
              <w:bottom w:type="dxa" w:w="80"/>
              <w:right w:type="dxa" w:w="60"/>
            </w:tcMar>
          </w:tcPr>
          <w:p>
            <w:pPr>
              <w:jc w:val="center"/>
            </w:pPr>
            <w:r>
              <w:rPr>
                <w:rFonts w:ascii="Arial" w:cs="Arial" w:eastAsia="Arial" w:hAnsi="Arial"/>
                <w:b/>
                <w:bCs/>
                <w:color w:val="FFFFFF"/>
                <w:sz w:val="14"/>
                <w:szCs w:val="14"/>
              </w:rPr>
              <w:t xml:space="preserve">SPS</w:t>
            </w:r>
          </w:p>
        </w:tc>
        <w:tc>
          <w:tcPr>
            <w:tcW w:type="dxa" w:w="52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A5C38"/>
                <w:sz w:val="19"/>
                <w:szCs w:val="19"/>
              </w:rPr>
              <w:t xml:space="preserve">Systems, Platforms &amp; Security</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6</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b/>
                <w:bCs/>
                <w:color w:val="1A5C38"/>
                <w:sz w:val="21"/>
                <w:szCs w:val="21"/>
              </w:rPr>
              <w:t xml:space="preserve">30</w:t>
            </w:r>
          </w:p>
        </w:tc>
        <w:tc>
          <w:tcPr>
            <w:tcW w:type="dxa" w:w="10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900</w:t>
            </w:r>
          </w:p>
        </w:tc>
      </w:tr>
      <w:tr>
        <w:tc>
          <w:tcPr>
            <w:tcW w:type="dxa" w:w="400"/>
            <w:tcBorders>
              <w:top w:val="single" w:color="DDDDDD" w:sz="1"/>
              <w:left w:val="single" w:color="DDDDDD" w:sz="1"/>
              <w:bottom w:val="single" w:color="DDDDDD" w:sz="1"/>
              <w:right w:val="single" w:color="DDDDDD" w:sz="1"/>
            </w:tcBorders>
            <w:shd w:fill="5C1A1A" w:val="clear"/>
            <w:tcMar>
              <w:top w:type="dxa" w:w="80"/>
              <w:left w:type="dxa" w:w="80"/>
              <w:bottom w:type="dxa" w:w="80"/>
              <w:right w:type="dxa" w:w="60"/>
            </w:tcMar>
          </w:tcPr>
          <w:p>
            <w:pPr>
              <w:jc w:val="center"/>
            </w:pPr>
            <w:r>
              <w:rPr>
                <w:rFonts w:ascii="Arial" w:cs="Arial" w:eastAsia="Arial" w:hAnsi="Arial"/>
                <w:b/>
                <w:bCs/>
                <w:color w:val="FFFFFF"/>
                <w:sz w:val="14"/>
                <w:szCs w:val="14"/>
              </w:rPr>
              <w:t xml:space="preserve">PSC</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5C1A1A"/>
                <w:sz w:val="19"/>
                <w:szCs w:val="19"/>
              </w:rPr>
              <w:t xml:space="preserve">Programming &amp; Software Construction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b/>
                <w:bCs/>
                <w:color w:val="5C1A1A"/>
                <w:sz w:val="21"/>
                <w:szCs w:val="21"/>
              </w:rPr>
              <w:t xml:space="preserve">25</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750</w:t>
            </w:r>
          </w:p>
        </w:tc>
      </w:tr>
      <w:tr>
        <w:tc>
          <w:tcPr>
            <w:tcW w:type="dxa" w:w="400"/>
            <w:tcBorders>
              <w:top w:val="single" w:color="DDDDDD" w:sz="1"/>
              <w:left w:val="single" w:color="DDDDDD" w:sz="1"/>
              <w:bottom w:val="single" w:color="DDDDDD" w:sz="1"/>
              <w:right w:val="single" w:color="DDDDDD" w:sz="1"/>
            </w:tcBorders>
            <w:shd w:fill="5C3A00" w:val="clear"/>
            <w:tcMar>
              <w:top w:type="dxa" w:w="80"/>
              <w:left w:type="dxa" w:w="80"/>
              <w:bottom w:type="dxa" w:w="80"/>
              <w:right w:type="dxa" w:w="60"/>
            </w:tcMar>
          </w:tcPr>
          <w:p>
            <w:pPr>
              <w:jc w:val="center"/>
            </w:pPr>
            <w:r>
              <w:rPr>
                <w:rFonts w:ascii="Arial" w:cs="Arial" w:eastAsia="Arial" w:hAnsi="Arial"/>
                <w:b/>
                <w:bCs/>
                <w:color w:val="FFFFFF"/>
                <w:sz w:val="14"/>
                <w:szCs w:val="14"/>
              </w:rPr>
              <w:t xml:space="preserve">DAI</w:t>
            </w:r>
          </w:p>
        </w:tc>
        <w:tc>
          <w:tcPr>
            <w:tcW w:type="dxa" w:w="52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5C3A00"/>
                <w:sz w:val="19"/>
                <w:szCs w:val="19"/>
              </w:rPr>
              <w:t xml:space="preserve">Data, AI &amp; Intelligent Systems</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7</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b/>
                <w:bCs/>
                <w:color w:val="5C3A00"/>
                <w:sz w:val="21"/>
                <w:szCs w:val="21"/>
              </w:rPr>
              <w:t xml:space="preserve">35</w:t>
            </w:r>
          </w:p>
        </w:tc>
        <w:tc>
          <w:tcPr>
            <w:tcW w:type="dxa" w:w="10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1050</w:t>
            </w:r>
          </w:p>
        </w:tc>
      </w:tr>
      <w:tr>
        <w:tc>
          <w:tcPr>
            <w:tcW w:type="dxa" w:w="400"/>
            <w:tcBorders>
              <w:top w:val="single" w:color="DDDDDD" w:sz="1"/>
              <w:left w:val="single" w:color="DDDDDD" w:sz="1"/>
              <w:bottom w:val="single" w:color="DDDDDD" w:sz="1"/>
              <w:right w:val="single" w:color="DDDDDD" w:sz="1"/>
            </w:tcBorders>
            <w:shd w:fill="2A4A5C" w:val="clear"/>
            <w:tcMar>
              <w:top w:type="dxa" w:w="80"/>
              <w:left w:type="dxa" w:w="80"/>
              <w:bottom w:type="dxa" w:w="80"/>
              <w:right w:type="dxa" w:w="60"/>
            </w:tcMar>
          </w:tcPr>
          <w:p>
            <w:pPr>
              <w:jc w:val="center"/>
            </w:pPr>
            <w:r>
              <w:rPr>
                <w:rFonts w:ascii="Arial" w:cs="Arial" w:eastAsia="Arial" w:hAnsi="Arial"/>
                <w:b/>
                <w:bCs/>
                <w:color w:val="FFFFFF"/>
                <w:sz w:val="14"/>
                <w:szCs w:val="14"/>
              </w:rPr>
              <w:t xml:space="preserve">HSC</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2A4A5C"/>
                <w:sz w:val="19"/>
                <w:szCs w:val="19"/>
              </w:rPr>
              <w:t xml:space="preserve">Human-Centred &amp; Societal Computing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b/>
                <w:bCs/>
                <w:color w:val="2A4A5C"/>
                <w:sz w:val="21"/>
                <w:szCs w:val="21"/>
              </w:rPr>
              <w:t xml:space="preserve">20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600</w:t>
            </w:r>
          </w:p>
        </w:tc>
      </w:tr>
      <w:tr>
        <w:tc>
          <w:tcPr>
            <w:tcW w:type="dxa" w:w="400"/>
            <w:tcBorders>
              <w:top w:val="single" w:color="DDDDDD" w:sz="1"/>
              <w:left w:val="single" w:color="DDDDDD" w:sz="1"/>
              <w:bottom w:val="single" w:color="DDDDDD" w:sz="1"/>
              <w:right w:val="single" w:color="DDDDDD" w:sz="1"/>
            </w:tcBorders>
            <w:shd w:fill="3A1A5C" w:val="clear"/>
            <w:tcMar>
              <w:top w:type="dxa" w:w="80"/>
              <w:left w:type="dxa" w:w="80"/>
              <w:bottom w:type="dxa" w:w="80"/>
              <w:right w:type="dxa" w:w="60"/>
            </w:tcMar>
          </w:tcPr>
          <w:p>
            <w:pPr>
              <w:jc w:val="center"/>
            </w:pPr>
            <w:r>
              <w:rPr>
                <w:rFonts w:ascii="Arial" w:cs="Arial" w:eastAsia="Arial" w:hAnsi="Arial"/>
                <w:b/>
                <w:bCs/>
                <w:color w:val="FFFFFF"/>
                <w:sz w:val="14"/>
                <w:szCs w:val="14"/>
              </w:rPr>
              <w:t xml:space="preserve">RPS</w:t>
            </w:r>
          </w:p>
        </w:tc>
        <w:tc>
          <w:tcPr>
            <w:tcW w:type="dxa" w:w="52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3A1A5C"/>
                <w:sz w:val="19"/>
                <w:szCs w:val="19"/>
              </w:rPr>
              <w:t xml:space="preserve">Research, Professional &amp; Societal Practice</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4</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b/>
                <w:bCs/>
                <w:color w:val="3A1A5C"/>
                <w:sz w:val="21"/>
                <w:szCs w:val="21"/>
              </w:rPr>
              <w:t xml:space="preserve">20</w:t>
            </w:r>
          </w:p>
        </w:tc>
        <w:tc>
          <w:tcPr>
            <w:tcW w:type="dxa" w:w="10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600</w:t>
            </w:r>
          </w:p>
        </w:tc>
      </w:tr>
      <w:tr>
        <w:tc>
          <w:tcPr>
            <w:tcW w:type="dxa" w:w="400"/>
            <w:tcBorders>
              <w:top w:val="single" w:color="DDDDDD" w:sz="1"/>
              <w:left w:val="single" w:color="DDDDDD" w:sz="1"/>
              <w:bottom w:val="single" w:color="DDDDDD" w:sz="1"/>
              <w:right w:val="single" w:color="DDDDDD" w:sz="1"/>
            </w:tcBorders>
            <w:shd w:fill="0D1F3C" w:val="clear"/>
            <w:tcMar>
              <w:top w:type="dxa" w:w="80"/>
              <w:left w:type="dxa" w:w="80"/>
              <w:bottom w:type="dxa" w:w="80"/>
              <w:right w:type="dxa" w:w="60"/>
            </w:tcMar>
          </w:tcPr>
          <w:p>
            <w:pPr>
              <w:jc w:val="center"/>
            </w:pPr>
            <w:r>
              <w:rPr>
                <w:rFonts w:ascii="Arial" w:cs="Arial" w:eastAsia="Arial" w:hAnsi="Arial"/>
                <w:b/>
                <w:bCs/>
                <w:color w:val="FFFFFF"/>
                <w:sz w:val="14"/>
                <w:szCs w:val="14"/>
              </w:rPr>
              <w:t xml:space="preserve">CAP</w:t>
            </w:r>
          </w:p>
        </w:tc>
        <w:tc>
          <w:tcPr>
            <w:tcW w:type="dxa" w:w="52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0D1F3C"/>
                <w:sz w:val="19"/>
                <w:szCs w:val="19"/>
              </w:rPr>
              <w:t xml:space="preserve">Capstone Project + Bachelor Thesis</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2</w:t>
            </w:r>
          </w:p>
        </w:tc>
        <w:tc>
          <w:tcPr>
            <w:tcW w:type="dxa" w:w="12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b/>
                <w:bCs/>
                <w:color w:val="0D1F3C"/>
                <w:sz w:val="21"/>
                <w:szCs w:val="21"/>
              </w:rPr>
              <w:t xml:space="preserve">20</w:t>
            </w:r>
          </w:p>
        </w:tc>
        <w:tc>
          <w:tcPr>
            <w:tcW w:type="dxa" w:w="1000"/>
            <w:tcBorders>
              <w:top w:val="single" w:color="DDDDDD" w:sz="1"/>
              <w:left w:val="single" w:color="DDDDDD" w:sz="1"/>
              <w:bottom w:val="single" w:color="DDDDDD" w:sz="1"/>
              <w:right w:val="single" w:color="DDDDDD" w:sz="1"/>
            </w:tcBorders>
            <w:shd w:fill="F4F7FA" w:val="clear"/>
            <w:tcMar>
              <w:top w:type="dxa" w:w="80"/>
              <w:left w:type="dxa" w:w="100"/>
              <w:bottom w:type="dxa" w:w="80"/>
              <w:right w:type="dxa" w:w="80"/>
            </w:tcMar>
          </w:tcPr>
          <w:p>
            <w:pPr>
              <w:jc w:val="center"/>
            </w:pPr>
            <w:r>
              <w:rPr>
                <w:rFonts w:ascii="Georgia" w:cs="Georgia" w:eastAsia="Georgia" w:hAnsi="Georgia"/>
                <w:color w:val="1A1A1A"/>
                <w:sz w:val="21"/>
                <w:szCs w:val="21"/>
              </w:rPr>
              <w:t xml:space="preserve">600</w:t>
            </w:r>
          </w:p>
        </w:tc>
      </w:tr>
      <w:tr>
        <w:tc>
          <w:tcPr>
            <w:tcW w:type="dxa" w:w="400"/>
            <w:tcBorders>
              <w:top w:val="single" w:color="DDDDDD" w:sz="1"/>
              <w:left w:val="single" w:color="DDDDDD" w:sz="1"/>
              <w:bottom w:val="single" w:color="DDDDDD" w:sz="1"/>
              <w:right w:val="single" w:color="DDDDDD" w:sz="1"/>
            </w:tcBorders>
            <w:shd w:fill="0D1F3C" w:val="clear"/>
            <w:tcMar>
              <w:top w:type="dxa" w:w="80"/>
              <w:left w:type="dxa" w:w="80"/>
              <w:bottom w:type="dxa" w:w="80"/>
              <w:right w:type="dxa" w:w="60"/>
            </w:tcMar>
          </w:tcPr>
          <w:p/>
        </w:tc>
        <w:tc>
          <w:tcPr>
            <w:tcW w:type="dxa" w:w="5226"/>
            <w:tcBorders>
              <w:top w:val="single" w:color="DDDDDD" w:sz="1"/>
              <w:left w:val="single" w:color="DDDDDD" w:sz="1"/>
              <w:bottom w:val="single" w:color="DDDDDD" w:sz="1"/>
              <w:right w:val="single" w:color="DDDDDD" w:sz="1"/>
            </w:tcBorders>
            <w:shd w:fill="EEF4FB" w:val="clear"/>
            <w:tcMar>
              <w:top w:type="dxa" w:w="80"/>
              <w:left w:type="dxa" w:w="140"/>
              <w:bottom w:type="dxa" w:w="80"/>
              <w:right w:type="dxa" w:w="100"/>
            </w:tcMar>
          </w:tcPr>
          <w:p>
            <w:r>
              <w:rPr>
                <w:rFonts w:ascii="Arial" w:cs="Arial" w:eastAsia="Arial" w:hAnsi="Arial"/>
                <w:b/>
                <w:bCs/>
                <w:color w:val="1F3864"/>
                <w:sz w:val="19"/>
                <w:szCs w:val="19"/>
              </w:rPr>
              <w:t xml:space="preserve">TOTAL</w:t>
            </w:r>
          </w:p>
        </w:tc>
        <w:tc>
          <w:tcPr>
            <w:tcW w:type="dxa" w:w="1200"/>
            <w:tcBorders>
              <w:top w:val="single" w:color="DDDDDD" w:sz="1"/>
              <w:left w:val="single" w:color="DDDDDD" w:sz="1"/>
              <w:bottom w:val="single" w:color="DDDDDD" w:sz="1"/>
              <w:right w:val="single" w:color="DDDDDD" w:sz="1"/>
            </w:tcBorders>
            <w:shd w:fill="EEF4FB" w:val="clear"/>
            <w:tcMar>
              <w:top w:type="dxa" w:w="80"/>
              <w:left w:type="dxa" w:w="100"/>
              <w:bottom w:type="dxa" w:w="80"/>
              <w:right w:type="dxa" w:w="80"/>
            </w:tcMar>
          </w:tcPr>
          <w:p>
            <w:pPr>
              <w:jc w:val="center"/>
            </w:pPr>
            <w:r>
              <w:rPr>
                <w:rFonts w:ascii="Georgia" w:cs="Georgia" w:eastAsia="Georgia" w:hAnsi="Georgia"/>
                <w:b/>
                <w:bCs/>
                <w:color w:val="1F3864"/>
                <w:sz w:val="21"/>
                <w:szCs w:val="21"/>
              </w:rPr>
              <w:t xml:space="preserve">34</w:t>
            </w:r>
          </w:p>
        </w:tc>
        <w:tc>
          <w:tcPr>
            <w:tcW w:type="dxa" w:w="1200"/>
            <w:tcBorders>
              <w:top w:val="single" w:color="DDDDDD" w:sz="1"/>
              <w:left w:val="single" w:color="DDDDDD" w:sz="1"/>
              <w:bottom w:val="single" w:color="DDDDDD" w:sz="1"/>
              <w:right w:val="single" w:color="DDDDDD" w:sz="1"/>
            </w:tcBorders>
            <w:shd w:fill="EEF4FB" w:val="clear"/>
            <w:tcMar>
              <w:top w:type="dxa" w:w="80"/>
              <w:left w:type="dxa" w:w="100"/>
              <w:bottom w:type="dxa" w:w="80"/>
              <w:right w:type="dxa" w:w="80"/>
            </w:tcMar>
          </w:tcPr>
          <w:p>
            <w:pPr>
              <w:jc w:val="center"/>
            </w:pPr>
            <w:r>
              <w:rPr>
                <w:rFonts w:ascii="Georgia" w:cs="Georgia" w:eastAsia="Georgia" w:hAnsi="Georgia"/>
                <w:b/>
                <w:bCs/>
                <w:color w:val="1F3864"/>
                <w:sz w:val="21"/>
                <w:szCs w:val="21"/>
              </w:rPr>
              <w:t xml:space="preserve">180</w:t>
            </w:r>
          </w:p>
        </w:tc>
        <w:tc>
          <w:tcPr>
            <w:tcW w:type="dxa" w:w="1000"/>
            <w:tcBorders>
              <w:top w:val="single" w:color="DDDDDD" w:sz="1"/>
              <w:left w:val="single" w:color="DDDDDD" w:sz="1"/>
              <w:bottom w:val="single" w:color="DDDDDD" w:sz="1"/>
              <w:right w:val="single" w:color="DDDDDD" w:sz="1"/>
            </w:tcBorders>
            <w:shd w:fill="EEF4FB" w:val="clear"/>
            <w:tcMar>
              <w:top w:type="dxa" w:w="80"/>
              <w:left w:type="dxa" w:w="100"/>
              <w:bottom w:type="dxa" w:w="80"/>
              <w:right w:type="dxa" w:w="80"/>
            </w:tcMar>
          </w:tcPr>
          <w:p>
            <w:pPr>
              <w:jc w:val="center"/>
            </w:pPr>
            <w:r>
              <w:rPr>
                <w:rFonts w:ascii="Georgia" w:cs="Georgia" w:eastAsia="Georgia" w:hAnsi="Georgia"/>
                <w:b/>
                <w:bCs/>
                <w:color w:val="1F3864"/>
                <w:sz w:val="21"/>
                <w:szCs w:val="21"/>
              </w:rPr>
              <w:t xml:space="preserve">5400</w:t>
            </w:r>
          </w:p>
        </w:tc>
      </w:tr>
    </w:tbl>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V.  Module Descriptions by Stream</w:t>
      </w:r>
    </w:p>
    <w:p>
      <w:pPr>
        <w:spacing w:before="0" w:after="185"/>
        <w:ind/>
        <w:jc w:val="both"/>
      </w:pPr>
      <w:r>
        <w:rPr>
          <w:rFonts w:ascii="Georgia" w:cs="Georgia" w:eastAsia="Georgia" w:hAnsi="Georgia"/>
          <w:b w:val="false"/>
          <w:bCs w:val="false"/>
          <w:i w:val="false"/>
          <w:iCs w:val="false"/>
          <w:color w:val="1A1A1A"/>
          <w:sz w:val="23"/>
          <w:szCs w:val="23"/>
        </w:rPr>
        <w:t xml:space="preserve">The following section provides the module-level description for each of the 37 taught modules in the programme, plus the Capstone and Thesis. Where a module has been fully specified in the OOAPI v5 feed, learning outcomes are provided verbatim from that specification. Where the full specification is in development, the module is described from the curriculum framework. All modules are 5 ECTS, 150 hours total workload, 60 hours contact, unless otherwise stated.</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A5298"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Mathematical &amp; Algorithmic Foundations</w:t>
            </w:r>
            <w:r>
              <w:rPr>
                <w:rFonts w:ascii="Arial" w:cs="Arial" w:eastAsia="Arial" w:hAnsi="Arial"/>
                <w:color w:val="AACCEE"/>
                <w:sz w:val="18"/>
                <w:szCs w:val="18"/>
              </w:rPr>
              <w:t xml:space="preserve">  ·  30 ECTS</w:t>
            </w:r>
          </w:p>
          <w:p>
            <w:pPr>
              <w:spacing w:before="0" w:after="0"/>
            </w:pPr>
            <w:r>
              <w:rPr>
                <w:rFonts w:ascii="Georgia" w:cs="Georgia" w:eastAsia="Georgia" w:hAnsi="Georgia"/>
                <w:i/>
                <w:iCs/>
                <w:color w:val="BBCCDD"/>
                <w:sz w:val="20"/>
                <w:szCs w:val="20"/>
              </w:rPr>
              <w:t xml:space="preserve">The theoretical backbone: formal reasoning, algorithms, and mathematical models that underpin all computer science</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T4INF1001  </w:t>
            </w:r>
            <w:r>
              <w:rPr>
                <w:rFonts w:ascii="Georgia" w:cs="Georgia" w:eastAsia="Georgia" w:hAnsi="Georgia"/>
                <w:b/>
                <w:bCs/>
                <w:color w:val="1A1A1A"/>
                <w:sz w:val="22"/>
                <w:szCs w:val="22"/>
              </w:rPr>
              <w:t xml:space="preserve">Linear Algebra for Computing</w:t>
            </w:r>
          </w:p>
          <w:p>
            <w:pPr>
              <w:spacing w:before="0" w:after="60"/>
            </w:pPr>
            <w:r>
              <w:rPr>
                <w:rFonts w:ascii="Georgia" w:cs="Georgia" w:eastAsia="Georgia" w:hAnsi="Georgia"/>
                <w:i/>
                <w:iCs/>
                <w:color w:val="555555"/>
                <w:sz w:val="20"/>
                <w:szCs w:val="20"/>
              </w:rPr>
              <w:t xml:space="preserve">Lineare Algebra</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T4INF1002  </w:t>
            </w:r>
            <w:r>
              <w:rPr>
                <w:rFonts w:ascii="Georgia" w:cs="Georgia" w:eastAsia="Georgia" w:hAnsi="Georgia"/>
                <w:b/>
                <w:bCs/>
                <w:color w:val="1A1A1A"/>
                <w:sz w:val="22"/>
                <w:szCs w:val="22"/>
              </w:rPr>
              <w:t xml:space="preserve">Discrete Logic &amp; Formal Reasoning</w:t>
            </w:r>
          </w:p>
          <w:p>
            <w:pPr>
              <w:spacing w:before="0" w:after="60"/>
            </w:pPr>
            <w:r>
              <w:rPr>
                <w:rFonts w:ascii="Georgia" w:cs="Georgia" w:eastAsia="Georgia" w:hAnsi="Georgia"/>
                <w:i/>
                <w:iCs/>
                <w:color w:val="555555"/>
                <w:sz w:val="20"/>
                <w:szCs w:val="20"/>
              </w:rPr>
              <w:t xml:space="preserve">Diskrete Mathematik &amp; Logik</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T4INF1003  </w:t>
            </w:r>
            <w:r>
              <w:rPr>
                <w:rFonts w:ascii="Georgia" w:cs="Georgia" w:eastAsia="Georgia" w:hAnsi="Georgia"/>
                <w:b/>
                <w:bCs/>
                <w:color w:val="1A1A1A"/>
                <w:sz w:val="22"/>
                <w:szCs w:val="22"/>
              </w:rPr>
              <w:t xml:space="preserve">Algorithms &amp; Complexity</w:t>
            </w:r>
          </w:p>
          <w:p>
            <w:pPr>
              <w:spacing w:before="0" w:after="60"/>
            </w:pPr>
            <w:r>
              <w:rPr>
                <w:rFonts w:ascii="Georgia" w:cs="Georgia" w:eastAsia="Georgia" w:hAnsi="Georgia"/>
                <w:i/>
                <w:iCs/>
                <w:color w:val="555555"/>
                <w:sz w:val="20"/>
                <w:szCs w:val="20"/>
              </w:rPr>
              <w:t xml:space="preserve">Theoretische Informatik II</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Introduction to algorithms; complexity theory (O-notation, complexity classes, P, NP); search and sort algorithms; correctness proofs; trees, graphs and graph algorithms; coding and compression.</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2A5298"/>
                <w:sz w:val="16"/>
                <w:szCs w:val="16"/>
              </w:rPr>
              <w:t xml:space="preserve">[Subject-Specific] </w:t>
            </w:r>
            <w:r>
              <w:rPr>
                <w:rFonts w:ascii="Georgia" w:cs="Georgia" w:eastAsia="Georgia" w:hAnsi="Georgia"/>
                <w:color w:val="1A1A1A"/>
                <w:sz w:val="21"/>
                <w:szCs w:val="21"/>
              </w:rPr>
              <w:t xml:space="preserve">Students have advanced knowledge of algorithm approaches for important computer science problem classes, complexity concepts, and abstract data types.</w:t>
            </w:r>
          </w:p>
          <w:p>
            <w:pPr>
              <w:pStyle w:val="ListParagraph"/>
              <w:numPr>
                <w:ilvl w:val="0"/>
                <w:numId w:val="2"/>
              </w:numPr>
              <w:spacing w:before="30" w:after="40"/>
            </w:pPr>
            <w:r>
              <w:rPr>
                <w:rFonts w:ascii="Arial" w:cs="Arial" w:eastAsia="Arial" w:hAnsi="Arial"/>
                <w:b/>
                <w:bCs/>
                <w:color w:val="2A5298"/>
                <w:sz w:val="16"/>
                <w:szCs w:val="16"/>
              </w:rPr>
              <w:t xml:space="preserve">[Methodological] </w:t>
            </w:r>
            <w:r>
              <w:rPr>
                <w:rFonts w:ascii="Georgia" w:cs="Georgia" w:eastAsia="Georgia" w:hAnsi="Georgia"/>
                <w:color w:val="1A1A1A"/>
                <w:sz w:val="21"/>
                <w:szCs w:val="21"/>
              </w:rPr>
              <w:t xml:space="preserve">Students can evaluate the need for complexity analysis and select an appropriate measure for professional use.</w:t>
            </w:r>
          </w:p>
          <w:p>
            <w:pPr>
              <w:pStyle w:val="ListParagraph"/>
              <w:numPr>
                <w:ilvl w:val="0"/>
                <w:numId w:val="2"/>
              </w:numPr>
              <w:spacing w:before="30" w:after="40"/>
            </w:pPr>
            <w:r>
              <w:rPr>
                <w:rFonts w:ascii="Arial" w:cs="Arial" w:eastAsia="Arial" w:hAnsi="Arial"/>
                <w:b/>
                <w:bCs/>
                <w:color w:val="2A5298"/>
                <w:sz w:val="16"/>
                <w:szCs w:val="16"/>
              </w:rPr>
              <w:t xml:space="preserve">[Personal/Social] </w:t>
            </w:r>
            <w:r>
              <w:rPr>
                <w:rFonts w:ascii="Georgia" w:cs="Georgia" w:eastAsia="Georgia" w:hAnsi="Georgia"/>
                <w:color w:val="1A1A1A"/>
                <w:sz w:val="21"/>
                <w:szCs w:val="21"/>
              </w:rPr>
              <w:t xml:space="preserve">Students have acquired the competence to select and adapt efficient data structures for practical problems through abstract thinking.</w:t>
            </w:r>
          </w:p>
          <w:p>
            <w:pPr>
              <w:spacing w:before="0" w:after="40"/>
            </w:pP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T4INF1004  </w:t>
            </w:r>
            <w:r>
              <w:rPr>
                <w:rFonts w:ascii="Georgia" w:cs="Georgia" w:eastAsia="Georgia" w:hAnsi="Georgia"/>
                <w:b/>
                <w:bCs/>
                <w:color w:val="1A1A1A"/>
                <w:sz w:val="22"/>
                <w:szCs w:val="22"/>
              </w:rPr>
              <w:t xml:space="preserve">Calculus &amp; Continuous Models</w:t>
            </w:r>
          </w:p>
          <w:p>
            <w:pPr>
              <w:spacing w:before="0" w:after="60"/>
            </w:pPr>
            <w:r>
              <w:rPr>
                <w:rFonts w:ascii="Georgia" w:cs="Georgia" w:eastAsia="Georgia" w:hAnsi="Georgia"/>
                <w:i/>
                <w:iCs/>
                <w:color w:val="555555"/>
                <w:sz w:val="20"/>
                <w:szCs w:val="20"/>
              </w:rPr>
              <w:t xml:space="preserve">Analysis</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T4INF1005  </w:t>
            </w:r>
            <w:r>
              <w:rPr>
                <w:rFonts w:ascii="Georgia" w:cs="Georgia" w:eastAsia="Georgia" w:hAnsi="Georgia"/>
                <w:b/>
                <w:bCs/>
                <w:color w:val="1A1A1A"/>
                <w:sz w:val="22"/>
                <w:szCs w:val="22"/>
              </w:rPr>
              <w:t xml:space="preserve">Applied Mathematics</w:t>
            </w:r>
          </w:p>
          <w:p>
            <w:pPr>
              <w:spacing w:before="0" w:after="60"/>
            </w:pPr>
            <w:r>
              <w:rPr>
                <w:rFonts w:ascii="Georgia" w:cs="Georgia" w:eastAsia="Georgia" w:hAnsi="Georgia"/>
                <w:i/>
                <w:iCs/>
                <w:color w:val="555555"/>
                <w:sz w:val="20"/>
                <w:szCs w:val="20"/>
              </w:rPr>
              <w:t xml:space="preserve">Angewandte Mathematik</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T4INF1006  </w:t>
            </w:r>
            <w:r>
              <w:rPr>
                <w:rFonts w:ascii="Georgia" w:cs="Georgia" w:eastAsia="Georgia" w:hAnsi="Georgia"/>
                <w:b/>
                <w:bCs/>
                <w:color w:val="1A1A1A"/>
                <w:sz w:val="22"/>
                <w:szCs w:val="22"/>
              </w:rPr>
              <w:t xml:space="preserve">Probability &amp; Statistics</w:t>
            </w:r>
          </w:p>
          <w:p>
            <w:pPr>
              <w:spacing w:before="0" w:after="60"/>
            </w:pPr>
            <w:r>
              <w:rPr>
                <w:rFonts w:ascii="Georgia" w:cs="Georgia" w:eastAsia="Georgia" w:hAnsi="Georgia"/>
                <w:i/>
                <w:iCs/>
                <w:color w:val="555555"/>
                <w:sz w:val="20"/>
                <w:szCs w:val="20"/>
              </w:rPr>
              <w:t xml:space="preserve">Wahrscheinlichkeitsrechnung &amp; Statistik</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38"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Systems, Platforms &amp; Security</w:t>
            </w:r>
            <w:r>
              <w:rPr>
                <w:rFonts w:ascii="Arial" w:cs="Arial" w:eastAsia="Arial" w:hAnsi="Arial"/>
                <w:color w:val="AACCEE"/>
                <w:sz w:val="18"/>
                <w:szCs w:val="18"/>
              </w:rPr>
              <w:t xml:space="preserve">  ·  30 ECTS</w:t>
            </w:r>
          </w:p>
          <w:p>
            <w:pPr>
              <w:spacing w:before="0" w:after="0"/>
            </w:pPr>
            <w:r>
              <w:rPr>
                <w:rFonts w:ascii="Georgia" w:cs="Georgia" w:eastAsia="Georgia" w:hAnsi="Georgia"/>
                <w:i/>
                <w:iCs/>
                <w:color w:val="BBCCDD"/>
                <w:sz w:val="20"/>
                <w:szCs w:val="20"/>
              </w:rPr>
              <w:t xml:space="preserve">From digital logic to cloud infrastructure — how computers are built and secured at every layer</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T4INF2001  </w:t>
            </w:r>
            <w:r>
              <w:rPr>
                <w:rFonts w:ascii="Georgia" w:cs="Georgia" w:eastAsia="Georgia" w:hAnsi="Georgia"/>
                <w:b/>
                <w:bCs/>
                <w:color w:val="1A1A1A"/>
                <w:sz w:val="22"/>
                <w:szCs w:val="22"/>
              </w:rPr>
              <w:t xml:space="preserve">Digital Logic &amp; Computer Engineering</w:t>
            </w:r>
          </w:p>
          <w:p>
            <w:pPr>
              <w:spacing w:before="0" w:after="60"/>
            </w:pPr>
            <w:r>
              <w:rPr>
                <w:rFonts w:ascii="Georgia" w:cs="Georgia" w:eastAsia="Georgia" w:hAnsi="Georgia"/>
                <w:i/>
                <w:iCs/>
                <w:color w:val="555555"/>
                <w:sz w:val="20"/>
                <w:szCs w:val="20"/>
              </w:rPr>
              <w:t xml:space="preserve">Digitaltechnik &amp; Rechnerarchitektur</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T4INF2002  </w:t>
            </w:r>
            <w:r>
              <w:rPr>
                <w:rFonts w:ascii="Georgia" w:cs="Georgia" w:eastAsia="Georgia" w:hAnsi="Georgia"/>
                <w:b/>
                <w:bCs/>
                <w:color w:val="1A1A1A"/>
                <w:sz w:val="22"/>
                <w:szCs w:val="22"/>
              </w:rPr>
              <w:t xml:space="preserve">Computer Architectures</w:t>
            </w:r>
          </w:p>
          <w:p>
            <w:pPr>
              <w:spacing w:before="0" w:after="60"/>
            </w:pPr>
            <w:r>
              <w:rPr>
                <w:rFonts w:ascii="Georgia" w:cs="Georgia" w:eastAsia="Georgia" w:hAnsi="Georgia"/>
                <w:i/>
                <w:iCs/>
                <w:color w:val="555555"/>
                <w:sz w:val="20"/>
                <w:szCs w:val="20"/>
              </w:rPr>
              <w:t xml:space="preserve">Rechnerarchitektur</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T4INF2003  </w:t>
            </w:r>
            <w:r>
              <w:rPr>
                <w:rFonts w:ascii="Georgia" w:cs="Georgia" w:eastAsia="Georgia" w:hAnsi="Georgia"/>
                <w:b/>
                <w:bCs/>
                <w:color w:val="1A1A1A"/>
                <w:sz w:val="22"/>
                <w:szCs w:val="22"/>
              </w:rPr>
              <w:t xml:space="preserve">Operating Systems</w:t>
            </w:r>
          </w:p>
          <w:p>
            <w:pPr>
              <w:spacing w:before="0" w:after="60"/>
            </w:pPr>
            <w:r>
              <w:rPr>
                <w:rFonts w:ascii="Georgia" w:cs="Georgia" w:eastAsia="Georgia" w:hAnsi="Georgia"/>
                <w:i/>
                <w:iCs/>
                <w:color w:val="555555"/>
                <w:sz w:val="20"/>
                <w:szCs w:val="20"/>
              </w:rPr>
              <w:t xml:space="preserve">Betriebssysteme</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T4INF2004  </w:t>
            </w:r>
            <w:r>
              <w:rPr>
                <w:rFonts w:ascii="Georgia" w:cs="Georgia" w:eastAsia="Georgia" w:hAnsi="Georgia"/>
                <w:b/>
                <w:bCs/>
                <w:color w:val="1A1A1A"/>
                <w:sz w:val="22"/>
                <w:szCs w:val="22"/>
              </w:rPr>
              <w:t xml:space="preserve">System-Level Programming</w:t>
            </w:r>
          </w:p>
          <w:p>
            <w:pPr>
              <w:spacing w:before="0" w:after="60"/>
            </w:pPr>
            <w:r>
              <w:rPr>
                <w:rFonts w:ascii="Georgia" w:cs="Georgia" w:eastAsia="Georgia" w:hAnsi="Georgia"/>
                <w:i/>
                <w:iCs/>
                <w:color w:val="555555"/>
                <w:sz w:val="20"/>
                <w:szCs w:val="20"/>
              </w:rPr>
              <w:t xml:space="preserve">Systemprogrammierung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T4INF2005  </w:t>
            </w:r>
            <w:r>
              <w:rPr>
                <w:rFonts w:ascii="Georgia" w:cs="Georgia" w:eastAsia="Georgia" w:hAnsi="Georgia"/>
                <w:b/>
                <w:bCs/>
                <w:color w:val="1A1A1A"/>
                <w:sz w:val="22"/>
                <w:szCs w:val="22"/>
              </w:rPr>
              <w:t xml:space="preserve">IT Security &amp; Secure Systems</w:t>
            </w:r>
          </w:p>
          <w:p>
            <w:pPr>
              <w:spacing w:before="0" w:after="60"/>
            </w:pPr>
            <w:r>
              <w:rPr>
                <w:rFonts w:ascii="Georgia" w:cs="Georgia" w:eastAsia="Georgia" w:hAnsi="Georgia"/>
                <w:i/>
                <w:iCs/>
                <w:color w:val="555555"/>
                <w:sz w:val="20"/>
                <w:szCs w:val="20"/>
              </w:rPr>
              <w:t xml:space="preserve">IT-Sicherheit</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T4INF2006  </w:t>
            </w:r>
            <w:r>
              <w:rPr>
                <w:rFonts w:ascii="Georgia" w:cs="Georgia" w:eastAsia="Georgia" w:hAnsi="Georgia"/>
                <w:b/>
                <w:bCs/>
                <w:color w:val="1A1A1A"/>
                <w:sz w:val="22"/>
                <w:szCs w:val="22"/>
              </w:rPr>
              <w:t xml:space="preserve">Cloud &amp; Distributed Systems</w:t>
            </w:r>
          </w:p>
          <w:p>
            <w:pPr>
              <w:spacing w:before="0" w:after="60"/>
            </w:pPr>
            <w:r>
              <w:rPr>
                <w:rFonts w:ascii="Georgia" w:cs="Georgia" w:eastAsia="Georgia" w:hAnsi="Georgia"/>
                <w:i/>
                <w:iCs/>
                <w:color w:val="555555"/>
                <w:sz w:val="20"/>
                <w:szCs w:val="20"/>
              </w:rPr>
              <w:t xml:space="preserve">Cloud &amp; Verteilte Systeme</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5C1A1A"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Programming &amp; Software Construction</w:t>
            </w:r>
            <w:r>
              <w:rPr>
                <w:rFonts w:ascii="Arial" w:cs="Arial" w:eastAsia="Arial" w:hAnsi="Arial"/>
                <w:color w:val="AACCEE"/>
                <w:sz w:val="18"/>
                <w:szCs w:val="18"/>
              </w:rPr>
              <w:t xml:space="preserve">  ·  25 ECTS</w:t>
            </w:r>
          </w:p>
          <w:p>
            <w:pPr>
              <w:spacing w:before="0" w:after="0"/>
            </w:pPr>
            <w:r>
              <w:rPr>
                <w:rFonts w:ascii="Georgia" w:cs="Georgia" w:eastAsia="Georgia" w:hAnsi="Georgia"/>
                <w:i/>
                <w:iCs/>
                <w:color w:val="BBCCDD"/>
                <w:sz w:val="20"/>
                <w:szCs w:val="20"/>
              </w:rPr>
              <w:t xml:space="preserve">From first principles to professional software architecture — building software that works and lasts</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T4INF3001  </w:t>
            </w:r>
            <w:r>
              <w:rPr>
                <w:rFonts w:ascii="Georgia" w:cs="Georgia" w:eastAsia="Georgia" w:hAnsi="Georgia"/>
                <w:b/>
                <w:bCs/>
                <w:color w:val="1A1A1A"/>
                <w:sz w:val="22"/>
                <w:szCs w:val="22"/>
              </w:rPr>
              <w:t xml:space="preserve">Programming Foundations</w:t>
            </w:r>
          </w:p>
          <w:p>
            <w:pPr>
              <w:spacing w:before="0" w:after="60"/>
            </w:pPr>
            <w:r>
              <w:rPr>
                <w:rFonts w:ascii="Georgia" w:cs="Georgia" w:eastAsia="Georgia" w:hAnsi="Georgia"/>
                <w:i/>
                <w:iCs/>
                <w:color w:val="555555"/>
                <w:sz w:val="20"/>
                <w:szCs w:val="20"/>
              </w:rPr>
              <w:t xml:space="preserve">Grundlagen der Programmierung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T4INF3002  </w:t>
            </w:r>
            <w:r>
              <w:rPr>
                <w:rFonts w:ascii="Georgia" w:cs="Georgia" w:eastAsia="Georgia" w:hAnsi="Georgia"/>
                <w:b/>
                <w:bCs/>
                <w:color w:val="1A1A1A"/>
                <w:sz w:val="22"/>
                <w:szCs w:val="22"/>
              </w:rPr>
              <w:t xml:space="preserve">Object-Oriented Programming &amp; Abstraction</w:t>
            </w:r>
          </w:p>
          <w:p>
            <w:pPr>
              <w:spacing w:before="0" w:after="60"/>
            </w:pPr>
            <w:r>
              <w:rPr>
                <w:rFonts w:ascii="Georgia" w:cs="Georgia" w:eastAsia="Georgia" w:hAnsi="Georgia"/>
                <w:i/>
                <w:iCs/>
                <w:color w:val="555555"/>
                <w:sz w:val="20"/>
                <w:szCs w:val="20"/>
              </w:rPr>
              <w:t xml:space="preserve">Objektorientierte Programmierung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T4INF3003  </w:t>
            </w:r>
            <w:r>
              <w:rPr>
                <w:rFonts w:ascii="Georgia" w:cs="Georgia" w:eastAsia="Georgia" w:hAnsi="Georgia"/>
                <w:b/>
                <w:bCs/>
                <w:color w:val="1A1A1A"/>
                <w:sz w:val="22"/>
                <w:szCs w:val="22"/>
              </w:rPr>
              <w:t xml:space="preserve">Web &amp; Application Engineering</w:t>
            </w:r>
          </w:p>
          <w:p>
            <w:pPr>
              <w:spacing w:before="0" w:after="60"/>
            </w:pPr>
            <w:r>
              <w:rPr>
                <w:rFonts w:ascii="Georgia" w:cs="Georgia" w:eastAsia="Georgia" w:hAnsi="Georgia"/>
                <w:i/>
                <w:iCs/>
                <w:color w:val="555555"/>
                <w:sz w:val="20"/>
                <w:szCs w:val="20"/>
              </w:rPr>
              <w:t xml:space="preserve">Web- &amp; Applikationsentwicklung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T4INF3004  </w:t>
            </w:r>
            <w:r>
              <w:rPr>
                <w:rFonts w:ascii="Georgia" w:cs="Georgia" w:eastAsia="Georgia" w:hAnsi="Georgia"/>
                <w:b/>
                <w:bCs/>
                <w:color w:val="1A1A1A"/>
                <w:sz w:val="22"/>
                <w:szCs w:val="22"/>
              </w:rPr>
              <w:t xml:space="preserve">Software Engineering Fundamentals</w:t>
            </w:r>
          </w:p>
          <w:p>
            <w:pPr>
              <w:spacing w:before="0" w:after="60"/>
            </w:pPr>
            <w:r>
              <w:rPr>
                <w:rFonts w:ascii="Georgia" w:cs="Georgia" w:eastAsia="Georgia" w:hAnsi="Georgia"/>
                <w:i/>
                <w:iCs/>
                <w:color w:val="555555"/>
                <w:sz w:val="20"/>
                <w:szCs w:val="20"/>
              </w:rPr>
              <w:t xml:space="preserve">Software Engineering I</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T4INF3102  </w:t>
            </w:r>
            <w:r>
              <w:rPr>
                <w:rFonts w:ascii="Georgia" w:cs="Georgia" w:eastAsia="Georgia" w:hAnsi="Georgia"/>
                <w:b/>
                <w:bCs/>
                <w:color w:val="1A1A1A"/>
                <w:sz w:val="22"/>
                <w:szCs w:val="22"/>
              </w:rPr>
              <w:t xml:space="preserve">Advanced Software Architecture</w:t>
            </w:r>
          </w:p>
          <w:p>
            <w:pPr>
              <w:spacing w:before="0" w:after="60"/>
            </w:pPr>
            <w:r>
              <w:rPr>
                <w:rFonts w:ascii="Georgia" w:cs="Georgia" w:eastAsia="Georgia" w:hAnsi="Georgia"/>
                <w:i/>
                <w:iCs/>
                <w:color w:val="555555"/>
                <w:sz w:val="20"/>
                <w:szCs w:val="20"/>
              </w:rPr>
              <w:t xml:space="preserve">Software Engineering II</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Unified Process with phase and process components; use cases for software projects; design patterns; refactoring; software quality assurance methods; requirements engineering; usability/SW ergonomics; SW management (ITIL); feasibility studies and technology evaluation.</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2A5298"/>
                <w:sz w:val="16"/>
                <w:szCs w:val="16"/>
              </w:rPr>
              <w:t xml:space="preserve">[Subject-Specific] </w:t>
            </w:r>
            <w:r>
              <w:rPr>
                <w:rFonts w:ascii="Georgia" w:cs="Georgia" w:eastAsia="Georgia" w:hAnsi="Georgia"/>
                <w:color w:val="1A1A1A"/>
                <w:sz w:val="21"/>
                <w:szCs w:val="21"/>
              </w:rPr>
              <w:t xml:space="preserve">Students can analyse complex practical problems, classify relevant information, construct suitable software architectures, and certify these using current methods.</w:t>
            </w:r>
          </w:p>
          <w:p>
            <w:pPr>
              <w:pStyle w:val="ListParagraph"/>
              <w:numPr>
                <w:ilvl w:val="0"/>
                <w:numId w:val="2"/>
              </w:numPr>
              <w:spacing w:before="30" w:after="40"/>
            </w:pPr>
            <w:r>
              <w:rPr>
                <w:rFonts w:ascii="Arial" w:cs="Arial" w:eastAsia="Arial" w:hAnsi="Arial"/>
                <w:b/>
                <w:bCs/>
                <w:color w:val="2A5298"/>
                <w:sz w:val="16"/>
                <w:szCs w:val="16"/>
              </w:rPr>
              <w:t xml:space="preserve">[Methodological] </w:t>
            </w:r>
            <w:r>
              <w:rPr>
                <w:rFonts w:ascii="Georgia" w:cs="Georgia" w:eastAsia="Georgia" w:hAnsi="Georgia"/>
                <w:color w:val="1A1A1A"/>
                <w:sz w:val="21"/>
                <w:szCs w:val="21"/>
              </w:rPr>
              <w:t xml:space="preserve">Students can select and apply appropriate methods for complex practical applications, and assess possibilities, practicability and limits.</w:t>
            </w:r>
          </w:p>
          <w:p>
            <w:pPr>
              <w:pStyle w:val="ListParagraph"/>
              <w:numPr>
                <w:ilvl w:val="0"/>
                <w:numId w:val="2"/>
              </w:numPr>
              <w:spacing w:before="30" w:after="40"/>
            </w:pPr>
            <w:r>
              <w:rPr>
                <w:rFonts w:ascii="Arial" w:cs="Arial" w:eastAsia="Arial" w:hAnsi="Arial"/>
                <w:b/>
                <w:bCs/>
                <w:color w:val="2A5298"/>
                <w:sz w:val="16"/>
                <w:szCs w:val="16"/>
              </w:rPr>
              <w:t xml:space="preserve">[Personal/Social] </w:t>
            </w:r>
            <w:r>
              <w:rPr>
                <w:rFonts w:ascii="Georgia" w:cs="Georgia" w:eastAsia="Georgia" w:hAnsi="Georgia"/>
                <w:color w:val="1A1A1A"/>
                <w:sz w:val="21"/>
                <w:szCs w:val="21"/>
              </w:rPr>
              <w:t xml:space="preserve">Students have learned to navigate new situations quickly and integrate into new tasks and teams effectively.</w:t>
            </w:r>
          </w:p>
          <w:p>
            <w:pPr>
              <w:spacing w:before="0" w:after="40"/>
            </w:pP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5C3A00"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Data, AI &amp; Intelligent Systems</w:t>
            </w:r>
            <w:r>
              <w:rPr>
                <w:rFonts w:ascii="Arial" w:cs="Arial" w:eastAsia="Arial" w:hAnsi="Arial"/>
                <w:color w:val="AACCEE"/>
                <w:sz w:val="18"/>
                <w:szCs w:val="18"/>
              </w:rPr>
              <w:t xml:space="preserve">  ·  35 ECTS</w:t>
            </w:r>
          </w:p>
          <w:p>
            <w:pPr>
              <w:spacing w:before="0" w:after="0"/>
            </w:pPr>
            <w:r>
              <w:rPr>
                <w:rFonts w:ascii="Georgia" w:cs="Georgia" w:eastAsia="Georgia" w:hAnsi="Georgia"/>
                <w:i/>
                <w:iCs/>
                <w:color w:val="BBCCDD"/>
                <w:sz w:val="20"/>
                <w:szCs w:val="20"/>
              </w:rPr>
              <w:t xml:space="preserve">Data pipelines, machine learning, and applied artificial intelligence — the engine of the digital health context</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T4INF4001  </w:t>
            </w:r>
            <w:r>
              <w:rPr>
                <w:rFonts w:ascii="Georgia" w:cs="Georgia" w:eastAsia="Georgia" w:hAnsi="Georgia"/>
                <w:b/>
                <w:bCs/>
                <w:color w:val="1A1A1A"/>
                <w:sz w:val="22"/>
                <w:szCs w:val="22"/>
              </w:rPr>
              <w:t xml:space="preserve">Foundation of Intelligent Systems</w:t>
            </w:r>
          </w:p>
          <w:p>
            <w:pPr>
              <w:spacing w:before="0" w:after="60"/>
            </w:pPr>
            <w:r>
              <w:rPr>
                <w:rFonts w:ascii="Georgia" w:cs="Georgia" w:eastAsia="Georgia" w:hAnsi="Georgia"/>
                <w:i/>
                <w:iCs/>
                <w:color w:val="555555"/>
                <w:sz w:val="20"/>
                <w:szCs w:val="20"/>
              </w:rPr>
              <w:t xml:space="preserve">Grundlagen Intelligenter Systeme</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T4INF4002  </w:t>
            </w:r>
            <w:r>
              <w:rPr>
                <w:rFonts w:ascii="Georgia" w:cs="Georgia" w:eastAsia="Georgia" w:hAnsi="Georgia"/>
                <w:b/>
                <w:bCs/>
                <w:color w:val="1A1A1A"/>
                <w:sz w:val="22"/>
                <w:szCs w:val="22"/>
              </w:rPr>
              <w:t xml:space="preserve">Scientific Programming &amp; Experimentation</w:t>
            </w:r>
          </w:p>
          <w:p>
            <w:pPr>
              <w:spacing w:before="0" w:after="60"/>
            </w:pPr>
            <w:r>
              <w:rPr>
                <w:rFonts w:ascii="Georgia" w:cs="Georgia" w:eastAsia="Georgia" w:hAnsi="Georgia"/>
                <w:i/>
                <w:iCs/>
                <w:color w:val="555555"/>
                <w:sz w:val="20"/>
                <w:szCs w:val="20"/>
              </w:rPr>
              <w:t xml:space="preserve">Wissenschaftliches Programmieren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T4INF4003  </w:t>
            </w:r>
            <w:r>
              <w:rPr>
                <w:rFonts w:ascii="Georgia" w:cs="Georgia" w:eastAsia="Georgia" w:hAnsi="Georgia"/>
                <w:b/>
                <w:bCs/>
                <w:color w:val="1A1A1A"/>
                <w:sz w:val="22"/>
                <w:szCs w:val="22"/>
              </w:rPr>
              <w:t xml:space="preserve">Data Science &amp; Data Pipelines</w:t>
            </w:r>
          </w:p>
          <w:p>
            <w:pPr>
              <w:spacing w:before="0" w:after="60"/>
            </w:pPr>
            <w:r>
              <w:rPr>
                <w:rFonts w:ascii="Georgia" w:cs="Georgia" w:eastAsia="Georgia" w:hAnsi="Georgia"/>
                <w:i/>
                <w:iCs/>
                <w:color w:val="555555"/>
                <w:sz w:val="20"/>
                <w:szCs w:val="20"/>
              </w:rPr>
              <w:t xml:space="preserve">Datenwissenschaft &amp; Datenpipelines</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T4INF4004  </w:t>
            </w:r>
            <w:r>
              <w:rPr>
                <w:rFonts w:ascii="Georgia" w:cs="Georgia" w:eastAsia="Georgia" w:hAnsi="Georgia"/>
                <w:b/>
                <w:bCs/>
                <w:color w:val="1A1A1A"/>
                <w:sz w:val="22"/>
                <w:szCs w:val="22"/>
              </w:rPr>
              <w:t xml:space="preserve">Machine Learning</w:t>
            </w:r>
          </w:p>
          <w:p>
            <w:pPr>
              <w:spacing w:before="0" w:after="60"/>
            </w:pPr>
            <w:r>
              <w:rPr>
                <w:rFonts w:ascii="Georgia" w:cs="Georgia" w:eastAsia="Georgia" w:hAnsi="Georgia"/>
                <w:i/>
                <w:iCs/>
                <w:color w:val="555555"/>
                <w:sz w:val="20"/>
                <w:szCs w:val="20"/>
              </w:rPr>
              <w:t xml:space="preserve">Maschinelles Lernen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T4INF4005  </w:t>
            </w:r>
            <w:r>
              <w:rPr>
                <w:rFonts w:ascii="Georgia" w:cs="Georgia" w:eastAsia="Georgia" w:hAnsi="Georgia"/>
                <w:b/>
                <w:bCs/>
                <w:color w:val="1A1A1A"/>
                <w:sz w:val="22"/>
                <w:szCs w:val="22"/>
              </w:rPr>
              <w:t xml:space="preserve">Advanced Data Science &amp; Data Pipelines</w:t>
            </w:r>
          </w:p>
          <w:p>
            <w:pPr>
              <w:spacing w:before="0" w:after="60"/>
            </w:pPr>
            <w:r>
              <w:rPr>
                <w:rFonts w:ascii="Georgia" w:cs="Georgia" w:eastAsia="Georgia" w:hAnsi="Georgia"/>
                <w:i/>
                <w:iCs/>
                <w:color w:val="555555"/>
                <w:sz w:val="20"/>
                <w:szCs w:val="20"/>
              </w:rPr>
              <w:t xml:space="preserve">Fortgeschrittene Datenwissenschaft</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T4INF3915  </w:t>
            </w:r>
            <w:r>
              <w:rPr>
                <w:rFonts w:ascii="Georgia" w:cs="Georgia" w:eastAsia="Georgia" w:hAnsi="Georgia"/>
                <w:b/>
                <w:bCs/>
                <w:color w:val="1A1A1A"/>
                <w:sz w:val="22"/>
                <w:szCs w:val="22"/>
              </w:rPr>
              <w:t xml:space="preserve">Applied AI Systems Seminar</w:t>
            </w:r>
          </w:p>
          <w:p>
            <w:pPr>
              <w:spacing w:before="0" w:after="60"/>
            </w:pPr>
            <w:r>
              <w:rPr>
                <w:rFonts w:ascii="Georgia" w:cs="Georgia" w:eastAsia="Georgia" w:hAnsi="Georgia"/>
                <w:i/>
                <w:iCs/>
                <w:color w:val="555555"/>
                <w:sz w:val="20"/>
                <w:szCs w:val="20"/>
              </w:rPr>
              <w:t xml:space="preserve">Technologie Seminar Angewandte KI</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Deep networks, recursive networks, time-series methods, and symbolic AI approaches. Students work independently on current AI topics through literature research, experimentation, and scientific methods.</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2A5298"/>
                <w:sz w:val="16"/>
                <w:szCs w:val="16"/>
              </w:rPr>
              <w:t xml:space="preserve">[Subject-Specific] </w:t>
            </w:r>
            <w:r>
              <w:rPr>
                <w:rFonts w:ascii="Georgia" w:cs="Georgia" w:eastAsia="Georgia" w:hAnsi="Georgia"/>
                <w:color w:val="1A1A1A"/>
                <w:sz w:val="21"/>
                <w:szCs w:val="21"/>
              </w:rPr>
              <w:t xml:space="preserve">Students can independently work through selected AI topics (deep networks, recursive networks, time-series methods, symbolic methods) and explain them using practical examples.</w:t>
            </w:r>
          </w:p>
          <w:p>
            <w:pPr>
              <w:pStyle w:val="ListParagraph"/>
              <w:numPr>
                <w:ilvl w:val="0"/>
                <w:numId w:val="2"/>
              </w:numPr>
              <w:spacing w:before="30" w:after="40"/>
            </w:pPr>
            <w:r>
              <w:rPr>
                <w:rFonts w:ascii="Arial" w:cs="Arial" w:eastAsia="Arial" w:hAnsi="Arial"/>
                <w:b/>
                <w:bCs/>
                <w:color w:val="2A5298"/>
                <w:sz w:val="16"/>
                <w:szCs w:val="16"/>
              </w:rPr>
              <w:t xml:space="preserve">[Methodological] </w:t>
            </w:r>
            <w:r>
              <w:rPr>
                <w:rFonts w:ascii="Georgia" w:cs="Georgia" w:eastAsia="Georgia" w:hAnsi="Georgia"/>
                <w:color w:val="1A1A1A"/>
                <w:sz w:val="21"/>
                <w:szCs w:val="21"/>
              </w:rPr>
              <w:t xml:space="preserve">Students develop systematic problem-solving approaches and analytical thinking skills.</w:t>
            </w:r>
          </w:p>
          <w:p>
            <w:pPr>
              <w:pStyle w:val="ListParagraph"/>
              <w:numPr>
                <w:ilvl w:val="0"/>
                <w:numId w:val="2"/>
              </w:numPr>
              <w:spacing w:before="30" w:after="40"/>
            </w:pPr>
            <w:r>
              <w:rPr>
                <w:rFonts w:ascii="Arial" w:cs="Arial" w:eastAsia="Arial" w:hAnsi="Arial"/>
                <w:b/>
                <w:bCs/>
                <w:color w:val="2A5298"/>
                <w:sz w:val="16"/>
                <w:szCs w:val="16"/>
              </w:rPr>
              <w:t xml:space="preserve">[Personal/Social] </w:t>
            </w:r>
            <w:r>
              <w:rPr>
                <w:rFonts w:ascii="Georgia" w:cs="Georgia" w:eastAsia="Georgia" w:hAnsi="Georgia"/>
                <w:color w:val="1A1A1A"/>
                <w:sz w:val="21"/>
                <w:szCs w:val="21"/>
              </w:rPr>
              <w:t xml:space="preserve">Students can independently explore current AI fields through literature work, experimentation, and scientific methods, and present results.</w:t>
            </w:r>
          </w:p>
          <w:p>
            <w:pPr>
              <w:spacing w:before="0" w:after="40"/>
            </w:pP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T4INF4006  </w:t>
            </w:r>
            <w:r>
              <w:rPr>
                <w:rFonts w:ascii="Georgia" w:cs="Georgia" w:eastAsia="Georgia" w:hAnsi="Georgia"/>
                <w:b/>
                <w:bCs/>
                <w:color w:val="1A1A1A"/>
                <w:sz w:val="22"/>
                <w:szCs w:val="22"/>
              </w:rPr>
              <w:t xml:space="preserve">Natural Language Processing</w:t>
            </w:r>
          </w:p>
          <w:p>
            <w:pPr>
              <w:spacing w:before="0" w:after="60"/>
            </w:pPr>
            <w:r>
              <w:rPr>
                <w:rFonts w:ascii="Georgia" w:cs="Georgia" w:eastAsia="Georgia" w:hAnsi="Georgia"/>
                <w:i/>
                <w:iCs/>
                <w:color w:val="555555"/>
                <w:sz w:val="20"/>
                <w:szCs w:val="20"/>
              </w:rPr>
              <w:t xml:space="preserve">Verarbeitung Natürlicher Sprache</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A4A5C"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Human-Centred &amp; Societal Computing</w:t>
            </w:r>
            <w:r>
              <w:rPr>
                <w:rFonts w:ascii="Arial" w:cs="Arial" w:eastAsia="Arial" w:hAnsi="Arial"/>
                <w:color w:val="AACCEE"/>
                <w:sz w:val="18"/>
                <w:szCs w:val="18"/>
              </w:rPr>
              <w:t xml:space="preserve">  ·  20 ECTS</w:t>
            </w:r>
          </w:p>
          <w:p>
            <w:pPr>
              <w:spacing w:before="0" w:after="0"/>
            </w:pPr>
            <w:r>
              <w:rPr>
                <w:rFonts w:ascii="Georgia" w:cs="Georgia" w:eastAsia="Georgia" w:hAnsi="Georgia"/>
                <w:i/>
                <w:iCs/>
                <w:color w:val="BBCCDD"/>
                <w:sz w:val="20"/>
                <w:szCs w:val="20"/>
              </w:rPr>
              <w:t xml:space="preserve">Design thinking, HCI, gamification, and digitalisation — technology as it meets people and society</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T4INF5001  </w:t>
            </w:r>
            <w:r>
              <w:rPr>
                <w:rFonts w:ascii="Georgia" w:cs="Georgia" w:eastAsia="Georgia" w:hAnsi="Georgia"/>
                <w:b/>
                <w:bCs/>
                <w:color w:val="1A1A1A"/>
                <w:sz w:val="22"/>
                <w:szCs w:val="22"/>
              </w:rPr>
              <w:t xml:space="preserve">Design Thinking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T4INF5002  </w:t>
            </w:r>
            <w:r>
              <w:rPr>
                <w:rFonts w:ascii="Georgia" w:cs="Georgia" w:eastAsia="Georgia" w:hAnsi="Georgia"/>
                <w:b/>
                <w:bCs/>
                <w:color w:val="1A1A1A"/>
                <w:sz w:val="22"/>
                <w:szCs w:val="22"/>
              </w:rPr>
              <w:t xml:space="preserve">Human-Computer Interaction</w:t>
            </w:r>
          </w:p>
          <w:p>
            <w:pPr>
              <w:spacing w:before="0" w:after="60"/>
            </w:pPr>
            <w:r>
              <w:rPr>
                <w:rFonts w:ascii="Georgia" w:cs="Georgia" w:eastAsia="Georgia" w:hAnsi="Georgia"/>
                <w:i/>
                <w:iCs/>
                <w:color w:val="555555"/>
                <w:sz w:val="20"/>
                <w:szCs w:val="20"/>
              </w:rPr>
              <w:t xml:space="preserve">Mensch-Computer-Interaktion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T4INF5003  </w:t>
            </w:r>
            <w:r>
              <w:rPr>
                <w:rFonts w:ascii="Georgia" w:cs="Georgia" w:eastAsia="Georgia" w:hAnsi="Georgia"/>
                <w:b/>
                <w:bCs/>
                <w:color w:val="1A1A1A"/>
                <w:sz w:val="22"/>
                <w:szCs w:val="22"/>
              </w:rPr>
              <w:t xml:space="preserve">Digitalisation</w:t>
            </w:r>
          </w:p>
          <w:p>
            <w:pPr>
              <w:spacing w:before="0" w:after="60"/>
            </w:pPr>
            <w:r>
              <w:rPr>
                <w:rFonts w:ascii="Georgia" w:cs="Georgia" w:eastAsia="Georgia" w:hAnsi="Georgia"/>
                <w:i/>
                <w:iCs/>
                <w:color w:val="555555"/>
                <w:sz w:val="20"/>
                <w:szCs w:val="20"/>
              </w:rPr>
              <w:t xml:space="preserve">Digitalisierung</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T4INF5004  </w:t>
            </w:r>
            <w:r>
              <w:rPr>
                <w:rFonts w:ascii="Georgia" w:cs="Georgia" w:eastAsia="Georgia" w:hAnsi="Georgia"/>
                <w:b/>
                <w:bCs/>
                <w:color w:val="1A1A1A"/>
                <w:sz w:val="22"/>
                <w:szCs w:val="22"/>
              </w:rPr>
              <w:t xml:space="preserve">Games &amp; Interactive Systems</w:t>
            </w:r>
          </w:p>
          <w:p>
            <w:pPr>
              <w:spacing w:before="0" w:after="60"/>
            </w:pPr>
            <w:r>
              <w:rPr>
                <w:rFonts w:ascii="Georgia" w:cs="Georgia" w:eastAsia="Georgia" w:hAnsi="Georgia"/>
                <w:i/>
                <w:iCs/>
                <w:color w:val="555555"/>
                <w:sz w:val="20"/>
                <w:szCs w:val="20"/>
              </w:rPr>
              <w:t xml:space="preserve">Spielbasierte &amp; Interaktive Systeme</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3A1A5C"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Research, Professional &amp; Societal Practice</w:t>
            </w:r>
            <w:r>
              <w:rPr>
                <w:rFonts w:ascii="Arial" w:cs="Arial" w:eastAsia="Arial" w:hAnsi="Arial"/>
                <w:color w:val="AACCEE"/>
                <w:sz w:val="18"/>
                <w:szCs w:val="18"/>
              </w:rPr>
              <w:t xml:space="preserve">  ·  20 ECTS</w:t>
            </w:r>
          </w:p>
          <w:p>
            <w:pPr>
              <w:spacing w:before="0" w:after="0"/>
            </w:pPr>
            <w:r>
              <w:rPr>
                <w:rFonts w:ascii="Georgia" w:cs="Georgia" w:eastAsia="Georgia" w:hAnsi="Georgia"/>
                <w:i/>
                <w:iCs/>
                <w:color w:val="BBCCDD"/>
                <w:sz w:val="20"/>
                <w:szCs w:val="20"/>
              </w:rPr>
              <w:t xml:space="preserve">Scientific methods, professional ethics, business context, and the societal responsibility of computing</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T4INF3906  </w:t>
            </w:r>
            <w:r>
              <w:rPr>
                <w:rFonts w:ascii="Georgia" w:cs="Georgia" w:eastAsia="Georgia" w:hAnsi="Georgia"/>
                <w:b/>
                <w:bCs/>
                <w:color w:val="1A1A1A"/>
                <w:sz w:val="22"/>
                <w:szCs w:val="22"/>
              </w:rPr>
              <w:t xml:space="preserve">New Concepts in Computer Science</w:t>
            </w:r>
          </w:p>
          <w:p>
            <w:pPr>
              <w:spacing w:before="0" w:after="60"/>
            </w:pPr>
            <w:r>
              <w:rPr>
                <w:rFonts w:ascii="Georgia" w:cs="Georgia" w:eastAsia="Georgia" w:hAnsi="Georgia"/>
                <w:i/>
                <w:iCs/>
                <w:color w:val="555555"/>
                <w:sz w:val="20"/>
                <w:szCs w:val="20"/>
              </w:rPr>
              <w:t xml:space="preserve">Neue Konzepte der Informatik</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New research topics in computer science and adjacent fields are presented and worked through in groups. Students independently explore frontier research and identify application possibilities.</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2A5298"/>
                <w:sz w:val="16"/>
                <w:szCs w:val="16"/>
              </w:rPr>
              <w:t xml:space="preserve">[Subject-Specific] </w:t>
            </w:r>
            <w:r>
              <w:rPr>
                <w:rFonts w:ascii="Georgia" w:cs="Georgia" w:eastAsia="Georgia" w:hAnsi="Georgia"/>
                <w:color w:val="1A1A1A"/>
                <w:sz w:val="21"/>
                <w:szCs w:val="21"/>
              </w:rPr>
              <w:t xml:space="preserve">Students know new developments in applied research in computer science and adjacent areas, and can communicate research findings and identify application possibilities.</w:t>
            </w:r>
          </w:p>
          <w:p>
            <w:pPr>
              <w:pStyle w:val="ListParagraph"/>
              <w:numPr>
                <w:ilvl w:val="0"/>
                <w:numId w:val="2"/>
              </w:numPr>
              <w:spacing w:before="30" w:after="40"/>
            </w:pPr>
            <w:r>
              <w:rPr>
                <w:rFonts w:ascii="Arial" w:cs="Arial" w:eastAsia="Arial" w:hAnsi="Arial"/>
                <w:b/>
                <w:bCs/>
                <w:color w:val="2A5298"/>
                <w:sz w:val="16"/>
                <w:szCs w:val="16"/>
              </w:rPr>
              <w:t xml:space="preserve">[Methodological] </w:t>
            </w:r>
            <w:r>
              <w:rPr>
                <w:rFonts w:ascii="Georgia" w:cs="Georgia" w:eastAsia="Georgia" w:hAnsi="Georgia"/>
                <w:color w:val="1A1A1A"/>
                <w:sz w:val="21"/>
                <w:szCs w:val="21"/>
              </w:rPr>
              <w:t xml:space="preserve">Students can understand and apply the latest methods and procedures in computer science.</w:t>
            </w:r>
          </w:p>
          <w:p>
            <w:pPr>
              <w:pStyle w:val="ListParagraph"/>
              <w:numPr>
                <w:ilvl w:val="0"/>
                <w:numId w:val="2"/>
              </w:numPr>
              <w:spacing w:before="30" w:after="40"/>
            </w:pPr>
            <w:r>
              <w:rPr>
                <w:rFonts w:ascii="Arial" w:cs="Arial" w:eastAsia="Arial" w:hAnsi="Arial"/>
                <w:b/>
                <w:bCs/>
                <w:color w:val="2A5298"/>
                <w:sz w:val="16"/>
                <w:szCs w:val="16"/>
              </w:rPr>
              <w:t xml:space="preserve">[Personal/Social] </w:t>
            </w:r>
            <w:r>
              <w:rPr>
                <w:rFonts w:ascii="Georgia" w:cs="Georgia" w:eastAsia="Georgia" w:hAnsi="Georgia"/>
                <w:color w:val="1A1A1A"/>
                <w:sz w:val="21"/>
                <w:szCs w:val="21"/>
              </w:rPr>
              <w:t xml:space="preserve">Students enhance independent work, communication, and collaboration abilities.</w:t>
            </w:r>
          </w:p>
          <w:p>
            <w:pPr>
              <w:spacing w:before="0" w:after="40"/>
            </w:pP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T4INF6002  </w:t>
            </w:r>
            <w:r>
              <w:rPr>
                <w:rFonts w:ascii="Georgia" w:cs="Georgia" w:eastAsia="Georgia" w:hAnsi="Georgia"/>
                <w:b/>
                <w:bCs/>
                <w:color w:val="1A1A1A"/>
                <w:sz w:val="22"/>
                <w:szCs w:val="22"/>
              </w:rPr>
              <w:t xml:space="preserve">Scientific Writing &amp; Methods</w:t>
            </w:r>
          </w:p>
          <w:p>
            <w:pPr>
              <w:spacing w:before="0" w:after="60"/>
            </w:pPr>
            <w:r>
              <w:rPr>
                <w:rFonts w:ascii="Georgia" w:cs="Georgia" w:eastAsia="Georgia" w:hAnsi="Georgia"/>
                <w:i/>
                <w:iCs/>
                <w:color w:val="555555"/>
                <w:sz w:val="20"/>
                <w:szCs w:val="20"/>
              </w:rPr>
              <w:t xml:space="preserve">Wissenschaftliches Schreiben &amp; Methoden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T4INF6003  </w:t>
            </w:r>
            <w:r>
              <w:rPr>
                <w:rFonts w:ascii="Georgia" w:cs="Georgia" w:eastAsia="Georgia" w:hAnsi="Georgia"/>
                <w:b/>
                <w:bCs/>
                <w:color w:val="1A1A1A"/>
                <w:sz w:val="22"/>
                <w:szCs w:val="22"/>
              </w:rPr>
              <w:t xml:space="preserve">Learning &amp; Study Methods</w:t>
            </w:r>
          </w:p>
          <w:p>
            <w:pPr>
              <w:spacing w:before="0" w:after="60"/>
            </w:pPr>
            <w:r>
              <w:rPr>
                <w:rFonts w:ascii="Georgia" w:cs="Georgia" w:eastAsia="Georgia" w:hAnsi="Georgia"/>
                <w:i/>
                <w:iCs/>
                <w:color w:val="555555"/>
                <w:sz w:val="20"/>
                <w:szCs w:val="20"/>
              </w:rPr>
              <w:t xml:space="preserve">Lern- &amp; Studienmethoden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2A5298"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T4INF6004  </w:t>
            </w:r>
            <w:r>
              <w:rPr>
                <w:rFonts w:ascii="Georgia" w:cs="Georgia" w:eastAsia="Georgia" w:hAnsi="Georgia"/>
                <w:b/>
                <w:bCs/>
                <w:color w:val="1A1A1A"/>
                <w:sz w:val="22"/>
                <w:szCs w:val="22"/>
              </w:rPr>
              <w:t xml:space="preserve">Business &amp; Organisation</w:t>
            </w:r>
          </w:p>
          <w:p>
            <w:pPr>
              <w:spacing w:before="0" w:after="60"/>
            </w:pPr>
            <w:r>
              <w:rPr>
                <w:rFonts w:ascii="Georgia" w:cs="Georgia" w:eastAsia="Georgia" w:hAnsi="Georgia"/>
                <w:i/>
                <w:iCs/>
                <w:color w:val="555555"/>
                <w:sz w:val="20"/>
                <w:szCs w:val="20"/>
              </w:rPr>
              <w:t xml:space="preserve">Wirtschaft &amp; Organisation</w:t>
            </w:r>
          </w:p>
          <w:p>
            <w:pPr>
              <w:spacing w:before="0" w:after="80"/>
            </w:pPr>
            <w:r>
              <w:rPr>
                <w:rFonts w:ascii="Arial" w:cs="Arial" w:eastAsia="Arial" w:hAnsi="Arial"/>
                <w:b/>
                <w:bCs/>
                <w:color w:val="2A5298"/>
                <w:sz w:val="17"/>
                <w:szCs w:val="17"/>
              </w:rPr>
              <w:t xml:space="preserve">5 ECTS  </w:t>
            </w:r>
            <w:r>
              <w:rPr>
                <w:rFonts w:ascii="Arial" w:cs="Arial" w:eastAsia="Arial" w:hAnsi="Arial"/>
                <w:color w:val="666666"/>
                <w:sz w:val="17"/>
                <w:szCs w:val="17"/>
              </w:rPr>
              <w:t xml:space="preserve">·  150 hours total  ·  60 hours contact  </w:t>
            </w:r>
            <w:r>
              <w:rPr>
                <w:rFonts w:ascii="Arial" w:cs="Arial" w:eastAsia="Arial" w:hAnsi="Arial"/>
                <w:i/>
                <w:iCs/>
                <w:color w:val="666666"/>
                <w:sz w:val="17"/>
                <w:szCs w:val="17"/>
              </w:rPr>
              <w:t xml:space="preserve">·  Lecture, Exercise, Seminar</w:t>
            </w:r>
          </w:p>
          <w:p>
            <w:pPr>
              <w:spacing w:before="0" w:after="0"/>
            </w:pPr>
            <w:r>
              <w:rPr>
                <w:rFonts w:ascii="Arial" w:cs="Arial" w:eastAsia="Arial" w:hAnsi="Arial"/>
                <w:i/>
                <w:iCs/>
                <w:color w:val="666666"/>
                <w:sz w:val="16"/>
                <w:szCs w:val="16"/>
              </w:rPr>
              <w:t xml:space="preserve">Prerequisites: No formal prerequisites unless indicated</w:t>
            </w:r>
            <w:r>
              <w:rPr>
                <w:rFonts w:ascii="Arial" w:cs="Arial" w:eastAsia="Arial" w:hAnsi="Arial"/>
                <w:i/>
                <w:iCs/>
                <w:color w:val="666666"/>
                <w:sz w:val="16"/>
                <w:szCs w:val="16"/>
              </w:rPr>
              <w:t xml:space="preserve">  ·  Micro-credential: Standalone validity — Europass digital credential issued on completion</w:t>
            </w:r>
            <w:r>
              <w:rPr>
                <w:rFonts w:ascii="Arial" w:cs="Arial" w:eastAsia="Arial" w:hAnsi="Arial"/>
                <w:i/>
                <w:iCs/>
                <w:color w:val="666666"/>
                <w:sz w:val="16"/>
                <w:szCs w:val="16"/>
              </w:rPr>
              <w:t xml:space="preserve">  ·  Europass-eligible: Digital credential issued on completion</w:t>
            </w:r>
          </w:p>
        </w:tc>
      </w:tr>
    </w:tbl>
    <w:p>
      <w:pPr>
        <w:spacing w:before="0" w:after="60"/>
      </w:pP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40"/>
              <w:left w:type="dxa" w:w="240"/>
              <w:bottom w:type="dxa" w:w="140"/>
              <w:right w:type="dxa" w:w="200"/>
            </w:tcMar>
          </w:tcPr>
          <w:p>
            <w:pPr>
              <w:spacing w:before="0" w:after="40"/>
            </w:pPr>
            <w:r>
              <w:rPr>
                <w:rFonts w:ascii="Georgia" w:cs="Georgia" w:eastAsia="Georgia" w:hAnsi="Georgia"/>
                <w:b/>
                <w:bCs/>
                <w:color w:val="FFFFFF"/>
                <w:sz w:val="25"/>
                <w:szCs w:val="25"/>
              </w:rPr>
              <w:t xml:space="preserve">Capstone Project &amp; Bachelor Thesis</w:t>
            </w:r>
            <w:r>
              <w:rPr>
                <w:rFonts w:ascii="Arial" w:cs="Arial" w:eastAsia="Arial" w:hAnsi="Arial"/>
                <w:color w:val="AACCEE"/>
                <w:sz w:val="18"/>
                <w:szCs w:val="18"/>
              </w:rPr>
              <w:t xml:space="preserve">  ·  20 ECTS</w:t>
            </w:r>
          </w:p>
          <w:p>
            <w:pPr>
              <w:spacing w:before="0" w:after="0"/>
            </w:pPr>
            <w:r>
              <w:rPr>
                <w:rFonts w:ascii="Georgia" w:cs="Georgia" w:eastAsia="Georgia" w:hAnsi="Georgia"/>
                <w:i/>
                <w:iCs/>
                <w:color w:val="BBCCDD"/>
                <w:sz w:val="20"/>
                <w:szCs w:val="20"/>
              </w:rPr>
              <w:t xml:space="preserve">Integrative culmination of the degree — where streams converge</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0D1F3C"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T4INF-CAP  </w:t>
            </w:r>
            <w:r>
              <w:rPr>
                <w:rFonts w:ascii="Georgia" w:cs="Georgia" w:eastAsia="Georgia" w:hAnsi="Georgia"/>
                <w:b/>
                <w:bCs/>
                <w:color w:val="1A1A1A"/>
                <w:sz w:val="22"/>
                <w:szCs w:val="22"/>
              </w:rPr>
              <w:t xml:space="preserve">Applied Computer Science Research (Capstone Project)</w:t>
            </w:r>
          </w:p>
          <w:p>
            <w:pPr>
              <w:spacing w:before="0" w:after="60"/>
            </w:pPr>
            <w:r>
              <w:rPr>
                <w:rFonts w:ascii="Georgia" w:cs="Georgia" w:eastAsia="Georgia" w:hAnsi="Georgia"/>
                <w:i/>
                <w:iCs/>
                <w:color w:val="555555"/>
                <w:sz w:val="20"/>
                <w:szCs w:val="20"/>
              </w:rPr>
              <w:t xml:space="preserve">Angewandtes Informatik-Forschungsprojekt</w:t>
            </w:r>
          </w:p>
          <w:p>
            <w:pPr>
              <w:spacing w:before="0" w:after="80"/>
            </w:pPr>
            <w:r>
              <w:rPr>
                <w:rFonts w:ascii="Arial" w:cs="Arial" w:eastAsia="Arial" w:hAnsi="Arial"/>
                <w:b/>
                <w:bCs/>
                <w:color w:val="0D1F3C"/>
                <w:sz w:val="17"/>
                <w:szCs w:val="17"/>
              </w:rPr>
              <w:t xml:space="preserve">10 ECTS  </w:t>
            </w:r>
            <w:r>
              <w:rPr>
                <w:rFonts w:ascii="Arial" w:cs="Arial" w:eastAsia="Arial" w:hAnsi="Arial"/>
                <w:color w:val="666666"/>
                <w:sz w:val="17"/>
                <w:szCs w:val="17"/>
              </w:rPr>
              <w:t xml:space="preserve">·  300 hours total  ·  Supervised contact  </w:t>
            </w:r>
            <w:r>
              <w:rPr>
                <w:rFonts w:ascii="Arial" w:cs="Arial" w:eastAsia="Arial" w:hAnsi="Arial"/>
                <w:i/>
                <w:iCs/>
                <w:color w:val="666666"/>
                <w:sz w:val="17"/>
                <w:szCs w:val="17"/>
              </w:rPr>
              <w:t xml:space="preserve">·  Project-based, multidisciplinary panel assessment</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The Capstone Project is a substantial independent research or development project addressing a real-world challenge in the Digital Health Hub context. Students demonstrate mastery across streams, apply research methods from the Research &amp; Practice stream, and produce a documented artefact (software system, research prototype, or empirical study) that is evaluated by a multidisciplinary panel.</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0D1F3C"/>
                <w:sz w:val="16"/>
                <w:szCs w:val="16"/>
              </w:rPr>
              <w:t xml:space="preserve">[Subject-Specific] </w:t>
            </w:r>
            <w:r>
              <w:rPr>
                <w:rFonts w:ascii="Georgia" w:cs="Georgia" w:eastAsia="Georgia" w:hAnsi="Georgia"/>
                <w:color w:val="1A1A1A"/>
                <w:sz w:val="21"/>
                <w:szCs w:val="21"/>
              </w:rPr>
              <w:t xml:space="preserve">Students design and implement a substantial computing artefact addressing a real Digital Health challenge, demonstrating mastery across at least three curriculum streams.</w:t>
            </w:r>
          </w:p>
          <w:p>
            <w:pPr>
              <w:pStyle w:val="ListParagraph"/>
              <w:numPr>
                <w:ilvl w:val="0"/>
                <w:numId w:val="2"/>
              </w:numPr>
              <w:spacing w:before="30" w:after="40"/>
            </w:pPr>
            <w:r>
              <w:rPr>
                <w:rFonts w:ascii="Arial" w:cs="Arial" w:eastAsia="Arial" w:hAnsi="Arial"/>
                <w:b/>
                <w:bCs/>
                <w:color w:val="0D1F3C"/>
                <w:sz w:val="16"/>
                <w:szCs w:val="16"/>
              </w:rPr>
              <w:t xml:space="preserve">[Methodological] </w:t>
            </w:r>
            <w:r>
              <w:rPr>
                <w:rFonts w:ascii="Georgia" w:cs="Georgia" w:eastAsia="Georgia" w:hAnsi="Georgia"/>
                <w:color w:val="1A1A1A"/>
                <w:sz w:val="21"/>
                <w:szCs w:val="21"/>
              </w:rPr>
              <w:t xml:space="preserve">Students apply research and project management methods to scope, plan, execute, and document a complex computing project independently.</w:t>
            </w:r>
          </w:p>
          <w:p>
            <w:pPr>
              <w:pStyle w:val="ListParagraph"/>
              <w:numPr>
                <w:ilvl w:val="0"/>
                <w:numId w:val="2"/>
              </w:numPr>
              <w:spacing w:before="30" w:after="40"/>
            </w:pPr>
            <w:r>
              <w:rPr>
                <w:rFonts w:ascii="Arial" w:cs="Arial" w:eastAsia="Arial" w:hAnsi="Arial"/>
                <w:b/>
                <w:bCs/>
                <w:color w:val="0D1F3C"/>
                <w:sz w:val="16"/>
                <w:szCs w:val="16"/>
              </w:rPr>
              <w:t xml:space="preserve">[Personal/Social] </w:t>
            </w:r>
            <w:r>
              <w:rPr>
                <w:rFonts w:ascii="Georgia" w:cs="Georgia" w:eastAsia="Georgia" w:hAnsi="Georgia"/>
                <w:color w:val="1A1A1A"/>
                <w:sz w:val="21"/>
                <w:szCs w:val="21"/>
              </w:rPr>
              <w:t xml:space="preserve">Students present their work to a multidisciplinary evaluation panel and respond to expert questioning, demonstrating professional communication and scholarly confidence.</w:t>
            </w:r>
          </w:p>
          <w:p>
            <w:pPr>
              <w:spacing w:before="0" w:after="40"/>
            </w:pPr>
          </w:p>
          <w:p>
            <w:pPr>
              <w:spacing w:before="0" w:after="0"/>
            </w:pPr>
            <w:r>
              <w:rPr>
                <w:rFonts w:ascii="Arial" w:cs="Arial" w:eastAsia="Arial" w:hAnsi="Arial"/>
                <w:i/>
                <w:iCs/>
                <w:color w:val="666666"/>
                <w:sz w:val="16"/>
                <w:szCs w:val="16"/>
              </w:rPr>
              <w:t xml:space="preserve">Prerequisites: 120 ECTS completed across 4+ streams including specified core modules</w:t>
            </w:r>
            <w:r>
              <w:rPr>
                <w:rFonts w:ascii="Arial" w:cs="Arial" w:eastAsia="Arial" w:hAnsi="Arial"/>
                <w:i/>
                <w:iCs/>
                <w:color w:val="666666"/>
                <w:sz w:val="16"/>
                <w:szCs w:val="16"/>
              </w:rPr>
              <w:t xml:space="preserve">  ·  Micro-credential: Capstone Certificate issued — unlocks Bachelor Thesis registration</w:t>
            </w:r>
          </w:p>
        </w:tc>
      </w:tr>
    </w:tbl>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0D1F3C" w:val="clear"/>
            <w:tcMar>
              <w:top w:type="dxa" w:w="0"/>
              <w:left w:type="dxa" w:w="0"/>
              <w:bottom w:type="dxa" w:w="0"/>
              <w:right w:type="dxa" w:w="0"/>
            </w:tcMar>
          </w:tcPr>
          <w:p/>
        </w:tc>
        <w:tc>
          <w:tcPr>
            <w:tcW w:type="dxa" w:w="8846"/>
            <w:tcBorders>
              <w:top w:val="single" w:color="EEEEEE" w:sz="1"/>
              <w:left w:val="none"/>
              <w:bottom w:val="single" w:color="EEEEEE" w:sz="1"/>
              <w:right w:val="single" w:color="EEEEEE" w:sz="1"/>
            </w:tcBorders>
            <w:shd w:fill="FFFFFF" w:val="clear"/>
            <w:tcMar>
              <w:top w:type="dxa" w:w="140"/>
              <w:left w:type="dxa" w:w="220"/>
              <w:bottom w:type="dxa" w:w="140"/>
              <w:right w:type="dxa" w:w="160"/>
            </w:tcMar>
          </w:tcPr>
          <w:p>
            <w:pPr>
              <w:spacing w:before="0" w:after="50"/>
            </w:pPr>
            <w:r>
              <w:rPr>
                <w:rFonts w:ascii="Arial" w:cs="Arial" w:eastAsia="Arial" w:hAnsi="Arial"/>
                <w:b/>
                <w:bCs/>
                <w:color w:val="2E75B6"/>
                <w:sz w:val="17"/>
                <w:szCs w:val="17"/>
              </w:rPr>
              <w:t xml:space="preserve">T4INF-BSC  </w:t>
            </w:r>
            <w:r>
              <w:rPr>
                <w:rFonts w:ascii="Georgia" w:cs="Georgia" w:eastAsia="Georgia" w:hAnsi="Georgia"/>
                <w:b/>
                <w:bCs/>
                <w:color w:val="1A1A1A"/>
                <w:sz w:val="22"/>
                <w:szCs w:val="22"/>
              </w:rPr>
              <w:t xml:space="preserve">Bachelor Thesis</w:t>
            </w:r>
          </w:p>
          <w:p>
            <w:pPr>
              <w:spacing w:before="0" w:after="60"/>
            </w:pPr>
            <w:r>
              <w:rPr>
                <w:rFonts w:ascii="Georgia" w:cs="Georgia" w:eastAsia="Georgia" w:hAnsi="Georgia"/>
                <w:i/>
                <w:iCs/>
                <w:color w:val="555555"/>
                <w:sz w:val="20"/>
                <w:szCs w:val="20"/>
              </w:rPr>
              <w:t xml:space="preserve">Bachelorarbeit</w:t>
            </w:r>
          </w:p>
          <w:p>
            <w:pPr>
              <w:spacing w:before="0" w:after="80"/>
            </w:pPr>
            <w:r>
              <w:rPr>
                <w:rFonts w:ascii="Arial" w:cs="Arial" w:eastAsia="Arial" w:hAnsi="Arial"/>
                <w:b/>
                <w:bCs/>
                <w:color w:val="0D1F3C"/>
                <w:sz w:val="17"/>
                <w:szCs w:val="17"/>
              </w:rPr>
              <w:t xml:space="preserve">10 ECTS  </w:t>
            </w:r>
            <w:r>
              <w:rPr>
                <w:rFonts w:ascii="Arial" w:cs="Arial" w:eastAsia="Arial" w:hAnsi="Arial"/>
                <w:color w:val="666666"/>
                <w:sz w:val="17"/>
                <w:szCs w:val="17"/>
              </w:rPr>
              <w:t xml:space="preserve">·  300 hours total  ·  Supervised contact  </w:t>
            </w:r>
            <w:r>
              <w:rPr>
                <w:rFonts w:ascii="Arial" w:cs="Arial" w:eastAsia="Arial" w:hAnsi="Arial"/>
                <w:i/>
                <w:iCs/>
                <w:color w:val="666666"/>
                <w:sz w:val="17"/>
                <w:szCs w:val="17"/>
              </w:rPr>
              <w:t xml:space="preserve">·  Independent scholarly research</w:t>
            </w:r>
          </w:p>
          <w:p>
            <w:pPr>
              <w:spacing w:before="0" w:after="60"/>
            </w:pPr>
            <w:r>
              <w:rPr>
                <w:rFonts w:ascii="Arial" w:cs="Arial" w:eastAsia="Arial" w:hAnsi="Arial"/>
                <w:b/>
                <w:bCs/>
                <w:caps/>
                <w:color w:val="888888"/>
                <w:sz w:val="16"/>
                <w:szCs w:val="16"/>
              </w:rPr>
              <w:t xml:space="preserve">Content overview: </w:t>
            </w:r>
          </w:p>
          <w:p>
            <w:pPr>
              <w:spacing w:before="0" w:after="80"/>
              <w:jc w:val="both"/>
            </w:pPr>
            <w:r>
              <w:rPr>
                <w:rFonts w:ascii="Georgia" w:cs="Georgia" w:eastAsia="Georgia" w:hAnsi="Georgia"/>
                <w:color w:val="1A1A1A"/>
                <w:sz w:val="21"/>
                <w:szCs w:val="21"/>
              </w:rPr>
              <w:t xml:space="preserve">An original scholarly contribution in computer science or a directly adjacent field. Students demonstrate the capacity for independent scientific work: problem formulation, literature review, methodological rigour, and clear academic communication. The thesis is supervised by an OUG-affiliated academic and examined by an independent second examiner.</w:t>
            </w:r>
          </w:p>
          <w:p>
            <w:pPr>
              <w:spacing w:before="0" w:after="50"/>
            </w:pPr>
            <w:r>
              <w:rPr>
                <w:rFonts w:ascii="Arial" w:cs="Arial" w:eastAsia="Arial" w:hAnsi="Arial"/>
                <w:b/>
                <w:bCs/>
                <w:caps/>
                <w:color w:val="888888"/>
                <w:sz w:val="16"/>
                <w:szCs w:val="16"/>
              </w:rPr>
              <w:t xml:space="preserve">Learning outcomes</w:t>
            </w:r>
          </w:p>
          <w:p>
            <w:pPr>
              <w:pStyle w:val="ListParagraph"/>
              <w:numPr>
                <w:ilvl w:val="0"/>
                <w:numId w:val="2"/>
              </w:numPr>
              <w:spacing w:before="30" w:after="40"/>
            </w:pPr>
            <w:r>
              <w:rPr>
                <w:rFonts w:ascii="Arial" w:cs="Arial" w:eastAsia="Arial" w:hAnsi="Arial"/>
                <w:b/>
                <w:bCs/>
                <w:color w:val="0D1F3C"/>
                <w:sz w:val="16"/>
                <w:szCs w:val="16"/>
              </w:rPr>
              <w:t xml:space="preserve">[Subject-Specific] </w:t>
            </w:r>
            <w:r>
              <w:rPr>
                <w:rFonts w:ascii="Georgia" w:cs="Georgia" w:eastAsia="Georgia" w:hAnsi="Georgia"/>
                <w:color w:val="1A1A1A"/>
                <w:sz w:val="21"/>
                <w:szCs w:val="21"/>
              </w:rPr>
              <w:t xml:space="preserve">Students make an original contribution to knowledge in computer science or an adjacent field, situated within existing scholarship through rigorous literature review.</w:t>
            </w:r>
          </w:p>
          <w:p>
            <w:pPr>
              <w:pStyle w:val="ListParagraph"/>
              <w:numPr>
                <w:ilvl w:val="0"/>
                <w:numId w:val="2"/>
              </w:numPr>
              <w:spacing w:before="30" w:after="40"/>
            </w:pPr>
            <w:r>
              <w:rPr>
                <w:rFonts w:ascii="Arial" w:cs="Arial" w:eastAsia="Arial" w:hAnsi="Arial"/>
                <w:b/>
                <w:bCs/>
                <w:color w:val="0D1F3C"/>
                <w:sz w:val="16"/>
                <w:szCs w:val="16"/>
              </w:rPr>
              <w:t xml:space="preserve">[Methodological] </w:t>
            </w:r>
            <w:r>
              <w:rPr>
                <w:rFonts w:ascii="Georgia" w:cs="Georgia" w:eastAsia="Georgia" w:hAnsi="Georgia"/>
                <w:color w:val="1A1A1A"/>
                <w:sz w:val="21"/>
                <w:szCs w:val="21"/>
              </w:rPr>
              <w:t xml:space="preserve">Students apply appropriate research methods — empirical, theoretical, design-based, or mixed — and document their methodology with sufficient detail for replication.</w:t>
            </w:r>
          </w:p>
          <w:p>
            <w:pPr>
              <w:pStyle w:val="ListParagraph"/>
              <w:numPr>
                <w:ilvl w:val="0"/>
                <w:numId w:val="2"/>
              </w:numPr>
              <w:spacing w:before="30" w:after="40"/>
            </w:pPr>
            <w:r>
              <w:rPr>
                <w:rFonts w:ascii="Arial" w:cs="Arial" w:eastAsia="Arial" w:hAnsi="Arial"/>
                <w:b/>
                <w:bCs/>
                <w:color w:val="0D1F3C"/>
                <w:sz w:val="16"/>
                <w:szCs w:val="16"/>
              </w:rPr>
              <w:t xml:space="preserve">[Personal/Social] </w:t>
            </w:r>
            <w:r>
              <w:rPr>
                <w:rFonts w:ascii="Georgia" w:cs="Georgia" w:eastAsia="Georgia" w:hAnsi="Georgia"/>
                <w:color w:val="1A1A1A"/>
                <w:sz w:val="21"/>
                <w:szCs w:val="21"/>
              </w:rPr>
              <w:t xml:space="preserve">Students communicate complex technical and scientific content clearly in academic English, and defend their work in an oral examination.</w:t>
            </w:r>
          </w:p>
          <w:p>
            <w:pPr>
              <w:spacing w:before="0" w:after="40"/>
            </w:pPr>
          </w:p>
          <w:p>
            <w:pPr>
              <w:spacing w:before="0" w:after="0"/>
            </w:pPr>
            <w:r>
              <w:rPr>
                <w:rFonts w:ascii="Arial" w:cs="Arial" w:eastAsia="Arial" w:hAnsi="Arial"/>
                <w:i/>
                <w:iCs/>
                <w:color w:val="666666"/>
                <w:sz w:val="16"/>
                <w:szCs w:val="16"/>
              </w:rPr>
              <w:t xml:space="preserve">Prerequisites: All 150 ECTS stream modules completed or recognised; Capstone passed</w:t>
            </w:r>
            <w:r>
              <w:rPr>
                <w:rFonts w:ascii="Arial" w:cs="Arial" w:eastAsia="Arial" w:hAnsi="Arial"/>
                <w:i/>
                <w:iCs/>
                <w:color w:val="666666"/>
                <w:sz w:val="16"/>
                <w:szCs w:val="16"/>
              </w:rPr>
              <w:t xml:space="preserve">  ·  Micro-credential: B.Sc. Computer Science (Digital Health Hub) awarded on pass; Europass degree credential issued</w:t>
            </w:r>
          </w:p>
        </w:tc>
      </w:tr>
    </w:tbl>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VI.  Competency Architecture</w:t>
      </w:r>
    </w:p>
    <w:p>
      <w:pPr>
        <w:spacing w:before="0" w:after="185"/>
        <w:ind/>
        <w:jc w:val="both"/>
      </w:pPr>
      <w:r>
        <w:rPr>
          <w:rFonts w:ascii="Georgia" w:cs="Georgia" w:eastAsia="Georgia" w:hAnsi="Georgia"/>
          <w:b w:val="false"/>
          <w:bCs w:val="false"/>
          <w:i w:val="false"/>
          <w:iCs w:val="false"/>
          <w:color w:val="1A1A1A"/>
          <w:sz w:val="23"/>
          <w:szCs w:val="23"/>
        </w:rPr>
        <w:t xml:space="preserve">The New Study programme is competency-based in a technically precise sense. Each module maps its learning outcomes to a defined set of competency domains, and the programme as a whole is designed so that different stream combinations produce different but coherent graduate profiles. This is not a traditional elective system — it is a deliberate architecture for differentiated competency development.</w:t>
      </w:r>
    </w:p>
    <w:p>
      <w:pPr>
        <w:spacing w:before="0" w:after="80"/>
      </w:pPr>
    </w:p>
    <w:p>
      <w:pPr>
        <w:pStyle w:val="Heading2"/>
        <w:spacing w:before="320" w:after="100"/>
      </w:pPr>
      <w:r>
        <w:rPr>
          <w:rFonts w:ascii="Georgia" w:cs="Georgia" w:eastAsia="Georgia" w:hAnsi="Georgia"/>
          <w:b/>
          <w:bCs/>
          <w:color w:val="2E75B6"/>
          <w:sz w:val="25"/>
          <w:szCs w:val="25"/>
        </w:rPr>
        <w:t xml:space="preserve">Competency Domains</w:t>
      </w:r>
    </w:p>
    <w:p>
      <w:pPr>
        <w:spacing w:before="0" w:after="185"/>
        <w:ind/>
        <w:jc w:val="both"/>
      </w:pPr>
      <w:r>
        <w:rPr>
          <w:rFonts w:ascii="Georgia" w:cs="Georgia" w:eastAsia="Georgia" w:hAnsi="Georgia"/>
          <w:b w:val="false"/>
          <w:bCs w:val="false"/>
          <w:i w:val="false"/>
          <w:iCs w:val="false"/>
          <w:color w:val="1A1A1A"/>
          <w:sz w:val="23"/>
          <w:szCs w:val="23"/>
        </w:rPr>
        <w:t xml:space="preserve">The programme uses eleven competency domains mapped to ESCO skill taxonomies and EQF descriptors:</w:t>
      </w:r>
    </w:p>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c>
          <w:tcPr>
            <w:tcW w:type="dxa" w:w="700"/>
            <w:tcBorders>
              <w:top w:val="single" w:color="DDDDDD" w:sz="1"/>
              <w:left w:val="single" w:color="DDDDDD" w:sz="1"/>
              <w:bottom w:val="single" w:color="DDDDDD" w:sz="1"/>
              <w:right w:val="single" w:color="DDDDDD" w:sz="1"/>
            </w:tcBorders>
            <w:shd w:fill="0D1F3C"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Code</w:t>
            </w:r>
          </w:p>
        </w:tc>
        <w:tc>
          <w:tcPr>
            <w:tcW w:type="dxa" w:w="24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r>
              <w:rPr>
                <w:rFonts w:ascii="Arial" w:cs="Arial" w:eastAsia="Arial" w:hAnsi="Arial"/>
                <w:b/>
                <w:bCs/>
                <w:color w:val="FFFFFF"/>
                <w:sz w:val="17"/>
                <w:szCs w:val="17"/>
              </w:rPr>
              <w:t xml:space="preserve">Domain</w:t>
            </w:r>
          </w:p>
        </w:tc>
        <w:tc>
          <w:tcPr>
            <w:tcW w:type="dxa" w:w="5926"/>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r>
              <w:rPr>
                <w:rFonts w:ascii="Arial" w:cs="Arial" w:eastAsia="Arial" w:hAnsi="Arial"/>
                <w:b/>
                <w:bCs/>
                <w:color w:val="FFFFFF"/>
                <w:sz w:val="17"/>
                <w:szCs w:val="17"/>
              </w:rPr>
              <w:t xml:space="preserve">Scope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PROG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Programming &amp; Software Development</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Core coding, software construction, version control, development environments</w:t>
            </w:r>
          </w:p>
        </w:tc>
      </w:tr>
      <w:tr>
        <w:tc>
          <w:tcPr>
            <w:tcW w:type="dxa" w:w="700"/>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SOFT</w:t>
            </w:r>
          </w:p>
        </w:tc>
        <w:tc>
          <w:tcPr>
            <w:tcW w:type="dxa" w:w="24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1A1A"/>
                <w:sz w:val="18"/>
                <w:szCs w:val="18"/>
              </w:rPr>
              <w:t xml:space="preserve">Software Engineering &amp; Architecture</w:t>
            </w:r>
          </w:p>
        </w:tc>
        <w:tc>
          <w:tcPr>
            <w:tcW w:type="dxa" w:w="59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color w:val="1A1A1A"/>
                <w:sz w:val="20"/>
                <w:szCs w:val="20"/>
              </w:rPr>
              <w:t xml:space="preserve">Design patterns, requirements engineering, software quality, architecture</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NETW</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Networks, Systems &amp; Infrastructure</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OS, networking, cloud, distributed systems, infrastructure security</w:t>
            </w:r>
          </w:p>
        </w:tc>
      </w:tr>
      <w:tr>
        <w:tc>
          <w:tcPr>
            <w:tcW w:type="dxa" w:w="700"/>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DATA</w:t>
            </w:r>
          </w:p>
        </w:tc>
        <w:tc>
          <w:tcPr>
            <w:tcW w:type="dxa" w:w="24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1A1A"/>
                <w:sz w:val="18"/>
                <w:szCs w:val="18"/>
              </w:rPr>
              <w:t xml:space="preserve">Data Engineering &amp; Analytics</w:t>
            </w:r>
          </w:p>
        </w:tc>
        <w:tc>
          <w:tcPr>
            <w:tcW w:type="dxa" w:w="59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color w:val="1A1A1A"/>
                <w:sz w:val="20"/>
                <w:szCs w:val="20"/>
              </w:rPr>
              <w:t xml:space="preserve">Databases, pipelines, data modelling, analytics, visualisation</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AI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Artificial Intelligence &amp; Machine Learning</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ML algorithms, deep learning, NLP, AI systems design</w:t>
            </w:r>
          </w:p>
        </w:tc>
      </w:tr>
      <w:tr>
        <w:tc>
          <w:tcPr>
            <w:tcW w:type="dxa" w:w="700"/>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METH</w:t>
            </w:r>
          </w:p>
        </w:tc>
        <w:tc>
          <w:tcPr>
            <w:tcW w:type="dxa" w:w="24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1A1A"/>
                <w:sz w:val="18"/>
                <w:szCs w:val="18"/>
              </w:rPr>
              <w:t xml:space="preserve">Methods &amp; Scientific Practice</w:t>
            </w:r>
          </w:p>
        </w:tc>
        <w:tc>
          <w:tcPr>
            <w:tcW w:type="dxa" w:w="59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color w:val="1A1A1A"/>
                <w:sz w:val="20"/>
                <w:szCs w:val="20"/>
              </w:rPr>
              <w:t xml:space="preserve">Research methods, modelling, experimentation, formal methods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ETHI</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Ethics, Law &amp; Professional Responsibility</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AI ethics, data protection, professional standards, legal frameworks</w:t>
            </w:r>
          </w:p>
        </w:tc>
      </w:tr>
      <w:tr>
        <w:tc>
          <w:tcPr>
            <w:tcW w:type="dxa" w:w="700"/>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UXHI</w:t>
            </w:r>
          </w:p>
        </w:tc>
        <w:tc>
          <w:tcPr>
            <w:tcW w:type="dxa" w:w="24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1A1A"/>
                <w:sz w:val="18"/>
                <w:szCs w:val="18"/>
              </w:rPr>
              <w:t xml:space="preserve">UX, HCI &amp; Design</w:t>
            </w:r>
          </w:p>
        </w:tc>
        <w:tc>
          <w:tcPr>
            <w:tcW w:type="dxa" w:w="59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color w:val="1A1A1A"/>
                <w:sz w:val="20"/>
                <w:szCs w:val="20"/>
              </w:rPr>
              <w:t xml:space="preserve">Human-centred design, accessibility, interaction design, usability</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COMM</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Communication &amp; Collaboration</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Technical writing, presentation, teamwork, professional communication</w:t>
            </w:r>
          </w:p>
        </w:tc>
      </w:tr>
      <w:tr>
        <w:tc>
          <w:tcPr>
            <w:tcW w:type="dxa" w:w="700"/>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RESE</w:t>
            </w:r>
          </w:p>
        </w:tc>
        <w:tc>
          <w:tcPr>
            <w:tcW w:type="dxa" w:w="24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1A1A"/>
                <w:sz w:val="18"/>
                <w:szCs w:val="18"/>
              </w:rPr>
              <w:t xml:space="preserve">Research &amp; Innovation</w:t>
            </w:r>
          </w:p>
        </w:tc>
        <w:tc>
          <w:tcPr>
            <w:tcW w:type="dxa" w:w="59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color w:val="1A1A1A"/>
                <w:sz w:val="20"/>
                <w:szCs w:val="20"/>
              </w:rPr>
              <w:t xml:space="preserve">Scientific enquiry, literature review, knowledge transfer, applied research</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F3864"/>
                <w:sz w:val="17"/>
                <w:szCs w:val="17"/>
              </w:rPr>
              <w:t xml:space="preserve">PERS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1A"/>
                <w:sz w:val="18"/>
                <w:szCs w:val="18"/>
              </w:rPr>
              <w:t xml:space="preserve">Personal &amp; Professional Development</w:t>
            </w:r>
          </w:p>
        </w:tc>
        <w:tc>
          <w:tcPr>
            <w:tcW w:type="dxa" w:w="59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color w:val="1A1A1A"/>
                <w:sz w:val="20"/>
                <w:szCs w:val="20"/>
              </w:rPr>
              <w:t xml:space="preserve">Self-regulation, learning strategies, career development</w:t>
            </w:r>
          </w:p>
        </w:tc>
      </w:tr>
    </w:tbl>
    <w:p>
      <w:pPr>
        <w:spacing w:before="0" w:after="80"/>
      </w:pPr>
    </w:p>
    <w:p>
      <w:pPr>
        <w:pStyle w:val="Heading2"/>
        <w:spacing w:before="320" w:after="100"/>
      </w:pPr>
      <w:r>
        <w:rPr>
          <w:rFonts w:ascii="Georgia" w:cs="Georgia" w:eastAsia="Georgia" w:hAnsi="Georgia"/>
          <w:b/>
          <w:bCs/>
          <w:color w:val="2E75B6"/>
          <w:sz w:val="25"/>
          <w:szCs w:val="25"/>
        </w:rPr>
        <w:t xml:space="preserve">Three Graduate Profiles</w:t>
      </w:r>
    </w:p>
    <w:p>
      <w:pPr>
        <w:spacing w:before="0" w:after="185"/>
        <w:ind/>
        <w:jc w:val="both"/>
      </w:pPr>
      <w:r>
        <w:rPr>
          <w:rFonts w:ascii="Georgia" w:cs="Georgia" w:eastAsia="Georgia" w:hAnsi="Georgia"/>
          <w:b w:val="false"/>
          <w:bCs w:val="false"/>
          <w:i w:val="false"/>
          <w:iCs w:val="false"/>
          <w:color w:val="1A1A1A"/>
          <w:sz w:val="23"/>
          <w:szCs w:val="23"/>
        </w:rPr>
        <w:t xml:space="preserve">The stream combination a student completes shapes their graduate profile. Three primary profiles are identified for accreditation purposes; these are not mutually exclusive, and students whose stream choices cross these profiles develop a correspondingly interdisciplinary competency set.</w:t>
      </w:r>
    </w:p>
    <w:p>
      <w:pPr>
        <w:spacing w:before="0" w:after="60"/>
      </w:pPr>
    </w:p>
    <w:p>
      <w:pPr>
        <w:spacing w:before="0" w:after="185"/>
        <w:jc w:val="both"/>
      </w:pPr>
      <w:r>
        <w:rPr>
          <w:rFonts w:ascii="Georgia" w:cs="Georgia" w:eastAsia="Georgia" w:hAnsi="Georgia"/>
          <w:b/>
          <w:bCs/>
          <w:i w:val="false"/>
          <w:iCs w:val="false"/>
          <w:color w:val="5C1A1A"/>
          <w:sz w:val="23"/>
          <w:szCs w:val="23"/>
        </w:rPr>
        <w:t xml:space="preserve">Programming &amp; Systems Profile: </w:t>
      </w:r>
      <w:r>
        <w:rPr>
          <w:rFonts w:ascii="Georgia" w:cs="Georgia" w:eastAsia="Georgia" w:hAnsi="Georgia"/>
          <w:b w:val="false"/>
          <w:bCs w:val="false"/>
          <w:i w:val="false"/>
          <w:iCs w:val="false"/>
          <w:color w:val="1A1A1A"/>
          <w:sz w:val="23"/>
          <w:szCs w:val="23"/>
        </w:rPr>
        <w:t xml:space="preserve">Strong in PROG, SOFT, NETW. Stream emphasis on Programming &amp; Software Construction and Systems, Platforms &amp; Security. Graduate role: Software engineer, systems architect, DevOps engineer, security specialist.</w:t>
      </w:r>
    </w:p>
    <w:p>
      <w:pPr>
        <w:spacing w:before="0" w:after="60"/>
      </w:pPr>
    </w:p>
    <w:p>
      <w:pPr>
        <w:spacing w:before="0" w:after="185"/>
        <w:jc w:val="both"/>
      </w:pPr>
      <w:r>
        <w:rPr>
          <w:rFonts w:ascii="Georgia" w:cs="Georgia" w:eastAsia="Georgia" w:hAnsi="Georgia"/>
          <w:b/>
          <w:bCs/>
          <w:i w:val="false"/>
          <w:iCs w:val="false"/>
          <w:color w:val="5C3A00"/>
          <w:sz w:val="23"/>
          <w:szCs w:val="23"/>
        </w:rPr>
        <w:t xml:space="preserve">Data &amp; AI Profile: </w:t>
      </w:r>
      <w:r>
        <w:rPr>
          <w:rFonts w:ascii="Georgia" w:cs="Georgia" w:eastAsia="Georgia" w:hAnsi="Georgia"/>
          <w:b w:val="false"/>
          <w:bCs w:val="false"/>
          <w:i w:val="false"/>
          <w:iCs w:val="false"/>
          <w:color w:val="1A1A1A"/>
          <w:sz w:val="23"/>
          <w:szCs w:val="23"/>
        </w:rPr>
        <w:t xml:space="preserve">Strong in DATA, AI, METH. Stream emphasis on Data, AI &amp; Intelligent Systems and Mathematical &amp; Algorithmic Foundations. Graduate role: Data scientist, ML engineer, AI systems designer, health data analyst.</w:t>
      </w:r>
    </w:p>
    <w:p>
      <w:pPr>
        <w:spacing w:before="0" w:after="60"/>
      </w:pPr>
    </w:p>
    <w:p>
      <w:pPr>
        <w:spacing w:before="0" w:after="185"/>
        <w:jc w:val="both"/>
      </w:pPr>
      <w:r>
        <w:rPr>
          <w:rFonts w:ascii="Georgia" w:cs="Georgia" w:eastAsia="Georgia" w:hAnsi="Georgia"/>
          <w:b/>
          <w:bCs/>
          <w:i w:val="false"/>
          <w:iCs w:val="false"/>
          <w:color w:val="2A4A5C"/>
          <w:sz w:val="23"/>
          <w:szCs w:val="23"/>
        </w:rPr>
        <w:t xml:space="preserve">Human-Centred &amp; Research Profile: </w:t>
      </w:r>
      <w:r>
        <w:rPr>
          <w:rFonts w:ascii="Georgia" w:cs="Georgia" w:eastAsia="Georgia" w:hAnsi="Georgia"/>
          <w:b w:val="false"/>
          <w:bCs w:val="false"/>
          <w:i w:val="false"/>
          <w:iCs w:val="false"/>
          <w:color w:val="1A1A1A"/>
          <w:sz w:val="23"/>
          <w:szCs w:val="23"/>
        </w:rPr>
        <w:t xml:space="preserve">Strong in UXHI, ETHI, RESE, COMM. Stream emphasis on Human-Centred &amp; Societal Computing and Research, Professional &amp; Societal Practice. Graduate role: UX researcher, digitalisation manager, applied researcher, technology ethicist.</w:t>
      </w:r>
    </w:p>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VII.  OUG Governance of the Adopted Programme</w:t>
      </w:r>
    </w:p>
    <w:p>
      <w:pPr>
        <w:spacing w:before="0" w:after="185"/>
        <w:ind/>
        <w:jc w:val="both"/>
      </w:pPr>
      <w:r>
        <w:rPr>
          <w:rFonts w:ascii="Georgia" w:cs="Georgia" w:eastAsia="Georgia" w:hAnsi="Georgia"/>
          <w:b w:val="false"/>
          <w:bCs w:val="false"/>
          <w:i w:val="false"/>
          <w:iCs w:val="false"/>
          <w:color w:val="1A1A1A"/>
          <w:sz w:val="23"/>
          <w:szCs w:val="23"/>
        </w:rPr>
        <w:t xml:space="preserve">The adoption of the New Study programme from DHBW is not a licence arrangement or a sub-contracting agreement. It is a specific instance of the OUG's federated model in which DHBW acts as a Type B Programme Partner: a partner institution contributing sustained teaching to a defined OUG programme, with all associated governance rights.</w:t>
      </w:r>
    </w:p>
    <w:p>
      <w:pPr>
        <w:spacing w:before="0" w:after="80"/>
      </w:pPr>
    </w:p>
    <w:p>
      <w:pPr>
        <w:pStyle w:val="Heading2"/>
        <w:spacing w:before="320" w:after="100"/>
      </w:pPr>
      <w:r>
        <w:rPr>
          <w:rFonts w:ascii="Georgia" w:cs="Georgia" w:eastAsia="Georgia" w:hAnsi="Georgia"/>
          <w:b/>
          <w:bCs/>
          <w:color w:val="2E75B6"/>
          <w:sz w:val="25"/>
          <w:szCs w:val="25"/>
        </w:rPr>
        <w:t xml:space="preserve">What DHBW Provides</w:t>
      </w:r>
    </w:p>
    <w:p>
      <w:pPr>
        <w:pStyle w:val="ListParagraph"/>
        <w:numPr>
          <w:ilvl w:val="0"/>
          <w:numId w:val="2"/>
        </w:numPr>
        <w:spacing w:before="50" w:after="60"/>
      </w:pPr>
      <w:r>
        <w:rPr>
          <w:rFonts w:ascii="Georgia" w:cs="Georgia" w:eastAsia="Georgia" w:hAnsi="Georgia"/>
          <w:color w:val="1A1A1A"/>
          <w:sz w:val="23"/>
          <w:szCs w:val="23"/>
        </w:rPr>
        <w:t xml:space="preserve">Teaching delivery — lectures, seminars, laboratory sessions — for all modules in the curriculum.</w:t>
      </w:r>
    </w:p>
    <w:p>
      <w:pPr>
        <w:pStyle w:val="ListParagraph"/>
        <w:numPr>
          <w:ilvl w:val="0"/>
          <w:numId w:val="2"/>
        </w:numPr>
        <w:spacing w:before="50" w:after="60"/>
      </w:pPr>
      <w:r>
        <w:rPr>
          <w:rFonts w:ascii="Georgia" w:cs="Georgia" w:eastAsia="Georgia" w:hAnsi="Georgia"/>
          <w:color w:val="1A1A1A"/>
          <w:sz w:val="23"/>
          <w:szCs w:val="23"/>
        </w:rPr>
        <w:t xml:space="preserve">Teaching staff — qualified academic contributors with subject expertise meeting OUG's academic contributor requirements.</w:t>
      </w:r>
    </w:p>
    <w:p>
      <w:pPr>
        <w:pStyle w:val="ListParagraph"/>
        <w:numPr>
          <w:ilvl w:val="0"/>
          <w:numId w:val="2"/>
        </w:numPr>
        <w:spacing w:before="50" w:after="60"/>
      </w:pPr>
      <w:r>
        <w:rPr>
          <w:rFonts w:ascii="Georgia" w:cs="Georgia" w:eastAsia="Georgia" w:hAnsi="Georgia"/>
          <w:color w:val="1A1A1A"/>
          <w:sz w:val="23"/>
          <w:szCs w:val="23"/>
        </w:rPr>
        <w:t xml:space="preserve">Physical and digital infrastructure — lecture spaces, laboratory facilities, and digital learning platforms where used.</w:t>
      </w:r>
    </w:p>
    <w:p>
      <w:pPr>
        <w:pStyle w:val="ListParagraph"/>
        <w:numPr>
          <w:ilvl w:val="0"/>
          <w:numId w:val="2"/>
        </w:numPr>
        <w:spacing w:before="50" w:after="60"/>
      </w:pPr>
      <w:r>
        <w:rPr>
          <w:rFonts w:ascii="Georgia" w:cs="Georgia" w:eastAsia="Georgia" w:hAnsi="Georgia"/>
          <w:color w:val="1A1A1A"/>
          <w:sz w:val="23"/>
          <w:szCs w:val="23"/>
        </w:rPr>
        <w:t xml:space="preserve">Academic expertise in curriculum maintenance — subject knowledge for keeping module content current.</w:t>
      </w:r>
    </w:p>
    <w:p>
      <w:pPr>
        <w:spacing w:before="0" w:after="80"/>
      </w:pPr>
    </w:p>
    <w:p>
      <w:pPr>
        <w:pStyle w:val="Heading2"/>
        <w:spacing w:before="320" w:after="100"/>
      </w:pPr>
      <w:r>
        <w:rPr>
          <w:rFonts w:ascii="Georgia" w:cs="Georgia" w:eastAsia="Georgia" w:hAnsi="Georgia"/>
          <w:b/>
          <w:bCs/>
          <w:color w:val="2E75B6"/>
          <w:sz w:val="25"/>
          <w:szCs w:val="25"/>
        </w:rPr>
        <w:t xml:space="preserve">What the OUG Governs</w:t>
      </w:r>
    </w:p>
    <w:p>
      <w:pPr>
        <w:pStyle w:val="ListParagraph"/>
        <w:numPr>
          <w:ilvl w:val="0"/>
          <w:numId w:val="2"/>
        </w:numPr>
        <w:spacing w:before="50" w:after="60"/>
      </w:pPr>
      <w:r>
        <w:rPr>
          <w:rFonts w:ascii="Georgia" w:cs="Georgia" w:eastAsia="Georgia" w:hAnsi="Georgia"/>
          <w:color w:val="1A1A1A"/>
          <w:sz w:val="23"/>
          <w:szCs w:val="23"/>
        </w:rPr>
        <w:t xml:space="preserve">Degree award — the B.Sc. Computer Science (Digital Health Hub) is awarded by OUG, not by DHBW. The credential belongs to OUG.</w:t>
      </w:r>
    </w:p>
    <w:p>
      <w:pPr>
        <w:pStyle w:val="ListParagraph"/>
        <w:numPr>
          <w:ilvl w:val="0"/>
          <w:numId w:val="2"/>
        </w:numPr>
        <w:spacing w:before="50" w:after="60"/>
      </w:pPr>
      <w:r>
        <w:rPr>
          <w:rFonts w:ascii="Georgia" w:cs="Georgia" w:eastAsia="Georgia" w:hAnsi="Georgia"/>
          <w:color w:val="1A1A1A"/>
          <w:sz w:val="23"/>
          <w:szCs w:val="23"/>
        </w:rPr>
        <w:t xml:space="preserve">Academic standards — programme learning outcomes, assessment criteria, examination standards, and grading scales are governed by OUG's G3 Academic Governance layer.</w:t>
      </w:r>
    </w:p>
    <w:p>
      <w:pPr>
        <w:pStyle w:val="ListParagraph"/>
        <w:numPr>
          <w:ilvl w:val="0"/>
          <w:numId w:val="2"/>
        </w:numPr>
        <w:spacing w:before="50" w:after="60"/>
      </w:pPr>
      <w:r>
        <w:rPr>
          <w:rFonts w:ascii="Georgia" w:cs="Georgia" w:eastAsia="Georgia" w:hAnsi="Georgia"/>
          <w:color w:val="1A1A1A"/>
          <w:sz w:val="23"/>
          <w:szCs w:val="23"/>
        </w:rPr>
        <w:t xml:space="preserve">Student enrolment and rights — OUG students are enrolled with OUG. Their student rights, complaints procedures, and academic records are governed by OUG's Prüfungsordnung and Student Charter.</w:t>
      </w:r>
    </w:p>
    <w:p>
      <w:pPr>
        <w:pStyle w:val="ListParagraph"/>
        <w:numPr>
          <w:ilvl w:val="0"/>
          <w:numId w:val="2"/>
        </w:numPr>
        <w:spacing w:before="50" w:after="60"/>
      </w:pPr>
      <w:r>
        <w:rPr>
          <w:rFonts w:ascii="Georgia" w:cs="Georgia" w:eastAsia="Georgia" w:hAnsi="Georgia"/>
          <w:color w:val="1A1A1A"/>
          <w:sz w:val="23"/>
          <w:szCs w:val="23"/>
        </w:rPr>
        <w:t xml:space="preserve">Quality assurance — programme review, external examination, and quality monitoring are conducted by OUG's Quality Assurance and Academic Governance Framework.</w:t>
      </w:r>
    </w:p>
    <w:p>
      <w:pPr>
        <w:pStyle w:val="ListParagraph"/>
        <w:numPr>
          <w:ilvl w:val="0"/>
          <w:numId w:val="2"/>
        </w:numPr>
        <w:spacing w:before="50" w:after="60"/>
      </w:pPr>
      <w:r>
        <w:rPr>
          <w:rFonts w:ascii="Georgia" w:cs="Georgia" w:eastAsia="Georgia" w:hAnsi="Georgia"/>
          <w:color w:val="1A1A1A"/>
          <w:sz w:val="23"/>
          <w:szCs w:val="23"/>
        </w:rPr>
        <w:t xml:space="preserve">Micro-credential issuance — Europass credentials for each module are issued by OUG, not by DHBW.</w:t>
      </w:r>
    </w:p>
    <w:p>
      <w:pPr>
        <w:spacing w:before="0" w:after="80"/>
      </w:pPr>
    </w:p>
    <w:p>
      <w:pPr>
        <w:pStyle w:val="Heading2"/>
        <w:spacing w:before="320" w:after="100"/>
      </w:pPr>
      <w:r>
        <w:rPr>
          <w:rFonts w:ascii="Georgia" w:cs="Georgia" w:eastAsia="Georgia" w:hAnsi="Georgia"/>
          <w:b/>
          <w:bCs/>
          <w:color w:val="2E75B6"/>
          <w:sz w:val="25"/>
          <w:szCs w:val="25"/>
        </w:rPr>
        <w:t xml:space="preserve">The 80% Learning Outcome Principle</w:t>
      </w:r>
    </w:p>
    <w:p>
      <w:pPr>
        <w:spacing w:before="0" w:after="185"/>
        <w:ind/>
        <w:jc w:val="both"/>
      </w:pPr>
      <w:r>
        <w:rPr>
          <w:rFonts w:ascii="Georgia" w:cs="Georgia" w:eastAsia="Georgia" w:hAnsi="Georgia"/>
          <w:b w:val="false"/>
          <w:bCs w:val="false"/>
          <w:i w:val="false"/>
          <w:iCs w:val="false"/>
          <w:color w:val="1A1A1A"/>
          <w:sz w:val="23"/>
          <w:szCs w:val="23"/>
        </w:rPr>
        <w:t xml:space="preserve">The adoption is formally governed by the requirement that more than 80% of the programme's learning outcomes are shared between the DHBW New Study programme and the OUG version. This threshold ensures that the OUG programme is genuinely the same programme in academic substance, while allowing OUG to add its own governance requirements, its Europass credential architecture, and its modular stacking framework on top of an academically equivalent foundation.</w:t>
      </w:r>
    </w:p>
    <w:p>
      <w:pPr>
        <w:spacing w:before="0" w:after="185"/>
        <w:ind/>
        <w:jc w:val="both"/>
      </w:pPr>
      <w:r>
        <w:rPr>
          <w:rFonts w:ascii="Georgia" w:cs="Georgia" w:eastAsia="Georgia" w:hAnsi="Georgia"/>
          <w:b w:val="false"/>
          <w:bCs w:val="false"/>
          <w:i w:val="false"/>
          <w:iCs w:val="false"/>
          <w:color w:val="1A1A1A"/>
          <w:sz w:val="23"/>
          <w:szCs w:val="23"/>
        </w:rPr>
        <w:t xml:space="preserve">The remaining capacity (less than 20%) is used for OUG-specific additions: the formal Europass credential issuing process, the Prior Learning Recognition procedure integrated into every module, and the competency mapping to ESCO taxonomies that enables skills-based transparency for employers and learners.</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6B5C"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This programme demonstrates something that policy has debated for years and the OUG makes concrete: a modular, stackable, Europass-integrated Bachelor's degree in which every module is a standalone credential, every stack is a recognisable qualification, and the full degree is both academically rigorous and genuinely accessible to working adults. This is not an experiment. It is operational.</w:t>
            </w:r>
          </w:p>
        </w:tc>
      </w:tr>
    </w:tbl>
    <w:p>
      <w:pPr>
        <w:spacing w:before="0" w:after="200"/>
      </w:pPr>
    </w:p>
    <w:p>
      <w:pPr>
        <w:pBdr>
          <w:bottom w:val="single" w:color="CCCCCC" w:sz="2" w:space="1"/>
        </w:pBdr>
        <w:spacing w:before="180" w:after="180"/>
      </w:pPr>
    </w:p>
    <w:p>
      <w:pPr>
        <w:spacing w:before="160" w:after="0"/>
        <w:jc w:val="right"/>
      </w:pPr>
      <w:r>
        <w:rPr>
          <w:rFonts w:ascii="Arial" w:cs="Arial" w:eastAsia="Arial" w:hAnsi="Arial"/>
          <w:i/>
          <w:iCs/>
          <w:color w:val="BBBBBB"/>
          <w:sz w:val="17"/>
          <w:szCs w:val="17"/>
        </w:rPr>
        <w:t xml:space="preserve">Open University of Germany  ·  B.Sc. Computer Science — New Study  ·  Programme Accreditation Document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2026-03-20T07:27:00.968Z</dcterms:created>
  <dcterms:modified xsi:type="dcterms:W3CDTF">2026-03-20T07:27:00.970Z</dcterms:modified>
</cp:coreProperties>
</file>

<file path=docProps/custom.xml><?xml version="1.0" encoding="utf-8"?>
<Properties xmlns="http://schemas.openxmlformats.org/officeDocument/2006/custom-properties" xmlns:vt="http://schemas.openxmlformats.org/officeDocument/2006/docPropsVTypes"/>
</file>