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6"/>
          <w:szCs w:val="16"/>
        </w:rPr>
        <w:t xml:space="preserve">OPEN UNIVERSITY OF GERMANY  ·  B.Sc. COMPUTER SCIENCE</w:t>
      </w:r>
    </w:p>
    <w:p>
      <w:pPr>
        <w:spacing w:after="50" w:before="0"/>
      </w:pPr>
      <w:r>
        <w:rPr>
          <w:rFonts w:ascii="Arial" w:cs="Arial" w:eastAsia="Arial" w:hAnsi="Arial"/>
          <w:color w:val="AAAAAA"/>
          <w:sz w:val="16"/>
          <w:szCs w:val="16"/>
        </w:rPr>
        <w:t xml:space="preserve">Digital Health Hub  ·  Didactic Framework for Accreditation  ·  2026</w:t>
      </w:r>
    </w:p>
    <w:p>
      <w:pPr>
        <w:pBdr>
          <w:bottom w:val="single" w:color="2E75B6" w:sz="10" w:space="1"/>
        </w:pBdr>
        <w:spacing w:after="240" w:before="0"/>
      </w:pPr>
    </w:p>
    <w:p>
      <w:pPr>
        <w:spacing w:after="40" w:before="0"/>
      </w:pPr>
      <w:r>
        <w:rPr>
          <w:rFonts w:ascii="Georgia" w:cs="Georgia" w:eastAsia="Georgia" w:hAnsi="Georgia"/>
          <w:b/>
          <w:bCs/>
          <w:color w:val="0D1F3C"/>
          <w:sz w:val="36"/>
          <w:szCs w:val="36"/>
        </w:rPr>
        <w:t xml:space="preserve">From Content Streams to Thinking Architecture:</w:t>
      </w:r>
    </w:p>
    <w:p>
      <w:pPr>
        <w:spacing w:after="240" w:before="0"/>
      </w:pPr>
      <w:r>
        <w:rPr>
          <w:rFonts w:ascii="Georgia" w:cs="Georgia" w:eastAsia="Georgia" w:hAnsi="Georgia"/>
          <w:i/>
          <w:iCs/>
          <w:color w:val="1F3864"/>
          <w:sz w:val="24"/>
          <w:szCs w:val="24"/>
        </w:rPr>
        <w:t xml:space="preserve">A Task-Based, Principles-First Didactic Framework for the B.Sc. Computer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spacing w:after="80" w:before="0"/>
            </w:pPr>
            <w:r>
              <w:rPr>
                <w:rFonts w:ascii="Arial" w:cs="Arial" w:eastAsia="Arial" w:hAnsi="Arial"/>
                <w:b/>
                <w:bCs/>
                <w:color w:val="1F3864"/>
                <w:sz w:val="18"/>
                <w:szCs w:val="18"/>
              </w:rPr>
              <w:t xml:space="preserve">Abstract</w:t>
            </w:r>
          </w:p>
          <w:p>
            <w:pPr>
              <w:spacing w:after="90" w:before="0"/>
              <w:jc w:val="both"/>
            </w:pPr>
            <w:r>
              <w:rPr>
                <w:rFonts w:ascii="Georgia" w:cs="Georgia" w:eastAsia="Georgia" w:hAnsi="Georgia"/>
                <w:color w:val="1A1A1A"/>
                <w:sz w:val="22"/>
                <w:szCs w:val="22"/>
              </w:rPr>
              <w:t xml:space="preserve">This document presents the didactic framework governing the B.Sc. Computer Science programme at the Open University of Germany (OUG). The framework applies Task-Based Learning (TBL) as its primary pedagogical paradigm, organising learning across three years around seven durable Thinking Principles rather than content streams. Every module in the programme implements a five-phase Didactic Unit structure. Assessment is competency-demonstration-based, with module-level Europass Digital Credentials providing a continuous, portable record of capability development. The framework is derived from the OUG's Curriculum Governance Principles (CP-1 through CP-8) and is designed to produce graduates who can demonstrate thinking, not merely recall content.</w:t>
            </w:r>
          </w:p>
          <w:p>
            <w:pPr>
              <w:spacing w:after="0" w:before="0"/>
              <w:jc w:val="both"/>
            </w:pPr>
            <w:r>
              <w:rPr>
                <w:rFonts w:ascii="Georgia" w:cs="Georgia" w:eastAsia="Georgia" w:hAnsi="Georgia"/>
                <w:i/>
                <w:iCs/>
                <w:color w:val="4A5568"/>
                <w:sz w:val="22"/>
                <w:szCs w:val="22"/>
              </w:rPr>
              <w:t xml:space="preserve">This document is submitted for accreditation review as evidence of didactic coherence across all three years of the programme. It should be read alongside the Competence Codebook v10.0 (149 entries, 23 domains) and the Programme Document (B.Sc. Computer Science, Digital Health Hub).</w:t>
            </w:r>
          </w:p>
        </w:tc>
      </w:tr>
    </w:tbl>
    <w:p>
      <w:pPr>
        <w:spacing w:after="2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Pedagogical paradigm and scholarly grounding</w:t>
            </w:r>
          </w:p>
          <w:p>
            <w:pPr>
              <w:spacing w:after="0" w:before="0"/>
            </w:pPr>
            <w:r>
              <w:rPr>
                <w:rFonts w:ascii="Georgia" w:cs="Georgia" w:eastAsia="Georgia" w:hAnsi="Georgia"/>
                <w:b/>
                <w:bCs/>
                <w:color w:val="FFFFFF"/>
                <w:sz w:val="25"/>
                <w:szCs w:val="25"/>
              </w:rPr>
              <w:t xml:space="preserve">I.  Theoretical Foundation</w:t>
            </w:r>
          </w:p>
        </w:tc>
      </w:tr>
    </w:tbl>
    <w:p>
      <w:pPr>
        <w:spacing w:after="80" w:before="0"/>
      </w:pPr>
    </w:p>
    <w:p>
      <w:pPr>
        <w:pStyle w:val="Heading2"/>
        <w:spacing w:after="110" w:before="340"/>
      </w:pPr>
      <w:r>
        <w:rPr>
          <w:rFonts w:ascii="Georgia" w:cs="Georgia" w:eastAsia="Georgia" w:hAnsi="Georgia"/>
          <w:b/>
          <w:bCs/>
          <w:color w:val="2E75B6"/>
          <w:sz w:val="25"/>
          <w:szCs w:val="25"/>
        </w:rPr>
        <w:t xml:space="preserve">Task-Based Learning as the Governing Paradigm</w:t>
      </w:r>
    </w:p>
    <w:p>
      <w:pPr>
        <w:spacing w:after="190" w:before="0"/>
        <w:jc w:val="both"/>
      </w:pPr>
      <w:r>
        <w:rPr>
          <w:rFonts w:ascii="Georgia" w:cs="Georgia" w:eastAsia="Georgia" w:hAnsi="Georgia"/>
          <w:b w:val="false"/>
          <w:bCs w:val="false"/>
          <w:i w:val="false"/>
          <w:iCs w:val="false"/>
          <w:color w:val="1A1A1A"/>
          <w:sz w:val="23"/>
          <w:szCs w:val="23"/>
        </w:rPr>
        <w:t xml:space="preserve">The OUG's B.Sc. Computer Science programme is grounded in Task-Based Learning (TBL), a pedagogical paradigm with a substantial evidence base in language education (Willis, 1996; Ellis, 2003; Long, 2015) and a growing body of application in professional and higher education contexts (Nunan, 2004; Thomas &amp; Reinders, 2010). The core principle of TBL is that learning is most durable and most transferable when it is organised around the completion of authentic tasks rather than around the transmission of content. The learner encounters concepts because they are needed to complete a task, not because they appear next in a syllabus.</w:t>
      </w:r>
    </w:p>
    <w:p>
      <w:pPr>
        <w:spacing w:after="190" w:before="0"/>
        <w:jc w:val="both"/>
      </w:pPr>
      <w:r>
        <w:rPr>
          <w:rFonts w:ascii="Georgia" w:cs="Georgia" w:eastAsia="Georgia" w:hAnsi="Georgia"/>
          <w:b w:val="false"/>
          <w:bCs w:val="false"/>
          <w:i w:val="false"/>
          <w:iCs w:val="false"/>
          <w:color w:val="1A1A1A"/>
          <w:sz w:val="23"/>
          <w:szCs w:val="23"/>
        </w:rPr>
        <w:t xml:space="preserve">This principle is not merely motivational. It reflects a structural claim about how competence develops. Cognitive apprenticeship theory (Collins, Brown &amp; Newman, 1989) demonstrates that expert performance is acquired through guided participation in authentic practice — not through the prior transmission of declarative knowledge followed by later application. Deliberate practice theory (Ericsson, Krampe &amp; Tesch-Römer, 1993) demonstrates that capability is developed through structured, feedback-rich repetition of specific cognitive operations at the edge of current competence. Threshold concepts theory (Meyer &amp; Land, 2003) identifies the conceptual transformations that, once crossed, restructure the learner's understanding of an entire domain — and argues that these transformations cannot be transmitted; they must be experienced through engagement with problems that require them.</w:t>
      </w:r>
    </w:p>
    <w:p>
      <w:pPr>
        <w:spacing w:after="190" w:before="0"/>
        <w:jc w:val="both"/>
      </w:pPr>
      <w:r>
        <w:rPr>
          <w:rFonts w:ascii="Georgia" w:cs="Georgia" w:eastAsia="Georgia" w:hAnsi="Georgia"/>
          <w:b w:val="false"/>
          <w:bCs w:val="false"/>
          <w:i w:val="false"/>
          <w:iCs w:val="false"/>
          <w:color w:val="1A1A1A"/>
          <w:sz w:val="23"/>
          <w:szCs w:val="23"/>
        </w:rPr>
        <w:t xml:space="preserve">Together, these three theoretical foundations converge on a single pedagogical implication: the primary unit of curriculum design should be the task, not the topic. Content, concepts, and declarative knowledge are essential — but they enter the learning sequence in service of task completion, not as prerequisites that must be mastered before tasks can be attempted. This is the inversion that the OUG's framework enacts across all three years of the programme.</w:t>
      </w:r>
    </w:p>
    <w:p>
      <w:pPr>
        <w:pStyle w:val="Heading2"/>
        <w:spacing w:after="110" w:before="340"/>
      </w:pPr>
      <w:r>
        <w:rPr>
          <w:rFonts w:ascii="Georgia" w:cs="Georgia" w:eastAsia="Georgia" w:hAnsi="Georgia"/>
          <w:b/>
          <w:bCs/>
          <w:color w:val="2E75B6"/>
          <w:sz w:val="25"/>
          <w:szCs w:val="25"/>
        </w:rPr>
        <w:t xml:space="preserve">Task-Based Learning in Computer Science Education</w:t>
      </w:r>
    </w:p>
    <w:p>
      <w:pPr>
        <w:spacing w:after="190" w:before="0"/>
        <w:jc w:val="both"/>
      </w:pPr>
      <w:r>
        <w:rPr>
          <w:rFonts w:ascii="Georgia" w:cs="Georgia" w:eastAsia="Georgia" w:hAnsi="Georgia"/>
          <w:b w:val="false"/>
          <w:bCs w:val="false"/>
          <w:i w:val="false"/>
          <w:iCs w:val="false"/>
          <w:color w:val="1A1A1A"/>
          <w:sz w:val="23"/>
          <w:szCs w:val="23"/>
        </w:rPr>
        <w:t xml:space="preserve">The application of TBL to computer science education has a practical basis that makes it particularly well suited to the OUG's context. Computer science as a professional discipline is fundamentally task-oriented: professionals debug code, design architectures, analyse data, review security systems, explain technical decisions to non-technical audiences. These are tasks with well-defined success criteria, authentic professional relevance, and rich opportunities for the kind of conceptual learning that transfer to new contexts requires. A curriculum that organises learning around these tasks is not merely pedagogically principled — it is also directly aligned with the professional practice for which the programme is preparing its graduates.</w:t>
      </w:r>
    </w:p>
    <w:p>
      <w:pPr>
        <w:spacing w:after="190" w:before="0"/>
        <w:jc w:val="both"/>
      </w:pPr>
      <w:r>
        <w:rPr>
          <w:rFonts w:ascii="Georgia" w:cs="Georgia" w:eastAsia="Georgia" w:hAnsi="Georgia"/>
          <w:b w:val="false"/>
          <w:bCs w:val="false"/>
          <w:i w:val="false"/>
          <w:iCs w:val="false"/>
          <w:color w:val="1A1A1A"/>
          <w:sz w:val="23"/>
          <w:szCs w:val="23"/>
        </w:rPr>
        <w:t xml:space="preserve">The OUG's existing Competence Codebook v10.0 provides the conceptual infrastructure that makes task-based design rigorous rather than merely experiential. The 149 atomic competency entries across 23 domains, each specified in terms of what a learner can do (canonical sentences at Bloom levels L1–L4), are precisely the capability specifications that TBL requires. Tasks are designed to develop and demonstrate specific competencies; the codebook is the reference that ensures this relationship is principled and verifiable. The ESCO mapping additionally ensures that the competencies developed are expressed in externally legible vocabulary that connects the academic learning outcome to the professional context it serves.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curriculum does not teach programming and then ask students to write programs. It asks students to write programs from the first day, and teaches programming in service of that task. The inversion is total — and it is evidence-based.</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The conceptual architecture of the programme</w:t>
            </w:r>
          </w:p>
          <w:p>
            <w:pPr>
              <w:spacing w:after="0" w:before="0"/>
            </w:pPr>
            <w:r>
              <w:rPr>
                <w:rFonts w:ascii="Georgia" w:cs="Georgia" w:eastAsia="Georgia" w:hAnsi="Georgia"/>
                <w:b/>
                <w:bCs/>
                <w:color w:val="FFFFFF"/>
                <w:sz w:val="25"/>
                <w:szCs w:val="25"/>
              </w:rPr>
              <w:t xml:space="preserve">II.  The Seven Thinking Principles</w:t>
            </w:r>
          </w:p>
        </w:tc>
      </w:tr>
    </w:tbl>
    <w:p>
      <w:pPr>
        <w:spacing w:after="80" w:before="0"/>
      </w:pPr>
    </w:p>
    <w:p>
      <w:pPr>
        <w:spacing w:after="190" w:before="0"/>
        <w:jc w:val="both"/>
      </w:pPr>
      <w:r>
        <w:rPr>
          <w:rFonts w:ascii="Georgia" w:cs="Georgia" w:eastAsia="Georgia" w:hAnsi="Georgia"/>
          <w:b w:val="false"/>
          <w:bCs w:val="false"/>
          <w:i w:val="false"/>
          <w:iCs w:val="false"/>
          <w:color w:val="1A1A1A"/>
          <w:sz w:val="23"/>
          <w:szCs w:val="23"/>
        </w:rPr>
        <w:t xml:space="preserve">The seven Thinking Principles organise the programme's competency architecture into a learner-navigable structure. They are derived from the OUG's Curriculum Governance Principles and mapped to the Competence Codebook's 23 domains. Every module in the programme primarily develops one Thinking Principle and secondarily develops a second. Every task within a module names the Thinking Principle it activates. This naming makes the progression of the programme visible to the learner — not as content accumulation but as intellectual development.</w:t>
      </w:r>
    </w:p>
    <w:p>
      <w:pPr>
        <w:spacing w:after="190" w:before="0"/>
        <w:jc w:val="both"/>
      </w:pPr>
      <w:r>
        <w:rPr>
          <w:rFonts w:ascii="Georgia" w:cs="Georgia" w:eastAsia="Georgia" w:hAnsi="Georgia"/>
          <w:b w:val="false"/>
          <w:bCs w:val="false"/>
          <w:i w:val="false"/>
          <w:iCs w:val="false"/>
          <w:color w:val="1A1A1A"/>
          <w:sz w:val="23"/>
          <w:szCs w:val="23"/>
        </w:rPr>
        <w:t xml:space="preserve">The principles are not a simplification of the codebook. They are an organising layer above it that makes the codebook usable for learner navigation and for cross-module coherence assessment. Accreditation reviewers can use the Thinking Principle map to verify that the programme's cognitive ambition increases systematically across three years, that no principle is introduced and then abandoned, and that the Year 3 modules genuinely require higher-order thinking in all seven principles.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TP-1</w:t>
            </w:r>
          </w:p>
          <w:p>
            <w:pPr>
              <w:spacing w:after="0" w:before="0"/>
            </w:pPr>
            <w:r>
              <w:rPr>
                <w:rFonts w:ascii="Georgia" w:cs="Georgia" w:eastAsia="Georgia" w:hAnsi="Georgia"/>
                <w:b/>
                <w:bCs/>
                <w:color w:val="FFFFFF"/>
                <w:sz w:val="24"/>
                <w:szCs w:val="24"/>
              </w:rPr>
              <w:t xml:space="preserve">Abstraction</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Separating what matters from what can be ignored for a given purpose. The learner identifies the essential structure of a problem or system and represents it in a form that makes further reasoning possible — discarding detail that is real but irrelevant.</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ALGO, ARCH, MATH, THEO, KNOW</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Primary in Year 1 · Present throughout</w:t>
                  </w:r>
                </w:p>
              </w:tc>
            </w:tr>
          </w:tbl>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TP-2</w:t>
            </w:r>
          </w:p>
          <w:p>
            <w:pPr>
              <w:spacing w:after="0" w:before="0"/>
            </w:pPr>
            <w:r>
              <w:rPr>
                <w:rFonts w:ascii="Georgia" w:cs="Georgia" w:eastAsia="Georgia" w:hAnsi="Georgia"/>
                <w:b/>
                <w:bCs/>
                <w:color w:val="FFFFFF"/>
                <w:sz w:val="24"/>
                <w:szCs w:val="24"/>
              </w:rPr>
              <w:t xml:space="preserve">Decomposition</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Breaking a complex, ill-structured challenge into manageable, well-defined components whose solutions can be recombined. The learner recognises that most professional problems are not single problems but systems of related problems requiring coordinated solutions.</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ANLY, PROJ, SYST, METH, PROG</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Primary in Year 1 · Present throughout</w:t>
                  </w:r>
                </w:p>
              </w:tc>
            </w:tr>
          </w:tbl>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5B6"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TP-3</w:t>
            </w:r>
          </w:p>
          <w:p>
            <w:pPr>
              <w:spacing w:after="0" w:before="0"/>
            </w:pPr>
            <w:r>
              <w:rPr>
                <w:rFonts w:ascii="Georgia" w:cs="Georgia" w:eastAsia="Georgia" w:hAnsi="Georgia"/>
                <w:b/>
                <w:bCs/>
                <w:color w:val="FFFFFF"/>
                <w:sz w:val="24"/>
                <w:szCs w:val="24"/>
              </w:rPr>
              <w:t xml:space="preserve">Transfer</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Recognising a solution pattern or analytical principle encountered in one context and applying it to a structurally similar problem in a different context. The learner builds a repertoire of reusable thinking moves, not a collection of domain-specific procedures.</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ALGO-4-02, APPL-4-02, METH-3-01, KNOW-2-01</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Primary in Year 2 · Developed in Year 3</w:t>
                  </w:r>
                </w:p>
              </w:tc>
            </w:tr>
          </w:tbl>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TP-4</w:t>
            </w:r>
          </w:p>
          <w:p>
            <w:pPr>
              <w:spacing w:after="0" w:before="0"/>
            </w:pPr>
            <w:r>
              <w:rPr>
                <w:rFonts w:ascii="Georgia" w:cs="Georgia" w:eastAsia="Georgia" w:hAnsi="Georgia"/>
                <w:b/>
                <w:bCs/>
                <w:color w:val="FFFFFF"/>
                <w:sz w:val="24"/>
                <w:szCs w:val="24"/>
              </w:rPr>
              <w:t xml:space="preserve">Trade-off</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Making reasoned choices under conflicting constraints, where no solution is optimal on all dimensions simultaneously. The learner evaluates competing design options, articulates the dimensions of comparison, and justifies a choice with explicit acknowledgment of its costs.</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ARCH-4-01, ANLY-4-01, QUAL-3-01, ETHI-4-02</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Primary in Year 2 · Deepened in Year 3</w:t>
                  </w:r>
                </w:p>
              </w:tc>
            </w:tr>
          </w:tbl>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5B6"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TP-5</w:t>
            </w:r>
          </w:p>
          <w:p>
            <w:pPr>
              <w:spacing w:after="0" w:before="0"/>
            </w:pPr>
            <w:r>
              <w:rPr>
                <w:rFonts w:ascii="Georgia" w:cs="Georgia" w:eastAsia="Georgia" w:hAnsi="Georgia"/>
                <w:b/>
                <w:bCs/>
                <w:color w:val="FFFFFF"/>
                <w:sz w:val="24"/>
                <w:szCs w:val="24"/>
              </w:rPr>
              <w:t xml:space="preserve">Evidence-Based Reasoning</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Using data, logic, experimentation, and structured argumentation to justify claims and evaluate solutions. The learner distinguishes between assertion and evidence, designs verification approaches, and updates conclusions when evidence changes.</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ANLY-3-01, RSCH-2-01, SECU-3-02, COMM-3-01, MATH-2-01</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Primary in Year 2 · Essential in Year 3</w:t>
                  </w:r>
                </w:p>
              </w:tc>
            </w:tr>
          </w:tbl>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4A00"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TP-6</w:t>
            </w:r>
          </w:p>
          <w:p>
            <w:pPr>
              <w:spacing w:after="0" w:before="0"/>
            </w:pPr>
            <w:r>
              <w:rPr>
                <w:rFonts w:ascii="Georgia" w:cs="Georgia" w:eastAsia="Georgia" w:hAnsi="Georgia"/>
                <w:b/>
                <w:bCs/>
                <w:color w:val="FFFFFF"/>
                <w:sz w:val="24"/>
                <w:szCs w:val="24"/>
              </w:rPr>
              <w:t xml:space="preserve">Ethical Reflexivity</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Recognising and acting on the value-laden dimensions of technical decisions. The learner identifies who is affected by a system, what power relationships it embeds, and what responsibilities follow from its design — and makes these considerations explicit in professional practice.</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ETHI-2-02, ETHI-4-01, ETHI-4-04, PERS-4-09, CREA-4-02</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Introduced in Year 2 · Primary in Year 3</w:t>
                  </w:r>
                </w:p>
              </w:tc>
            </w:tr>
          </w:tbl>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80"/>
              <w:left w:type="dxa" w:w="200"/>
              <w:bottom w:type="dxa" w:w="80"/>
              <w:right w:type="dxa" w:w="160"/>
            </w:tcMar>
          </w:tcPr>
          <w:p>
            <w:pPr>
              <w:spacing w:after="15" w:before="0"/>
            </w:pPr>
            <w:r>
              <w:rPr>
                <w:rFonts w:ascii="Arial" w:cs="Arial" w:eastAsia="Arial" w:hAnsi="Arial"/>
                <w:b/>
                <w:bCs/>
                <w:color w:val="AACCEE"/>
                <w:sz w:val="15"/>
                <w:szCs w:val="15"/>
              </w:rPr>
              <w:t xml:space="preserve">TP-7</w:t>
            </w:r>
          </w:p>
          <w:p>
            <w:pPr>
              <w:spacing w:after="0" w:before="0"/>
            </w:pPr>
            <w:r>
              <w:rPr>
                <w:rFonts w:ascii="Georgia" w:cs="Georgia" w:eastAsia="Georgia" w:hAnsi="Georgia"/>
                <w:b/>
                <w:bCs/>
                <w:color w:val="FFFFFF"/>
                <w:sz w:val="24"/>
                <w:szCs w:val="24"/>
              </w:rPr>
              <w:t xml:space="preserve">Meta-Learning</w:t>
            </w:r>
          </w:p>
        </w:tc>
      </w:tr>
      <w:tr>
        <w:tc>
          <w:tcPr>
            <w:tcW w:type="dxa" w:w="9026"/>
            <w:tcBorders>
              <w:top w:val="none"/>
              <w:left w:val="none"/>
              <w:bottom w:val="none"/>
              <w:right w:val="none"/>
            </w:tcBorders>
            <w:shd w:fill="FFFFFF" w:val="clear"/>
            <w:tcMar>
              <w:top w:type="dxa" w:w="90"/>
              <w:left w:type="dxa" w:w="200"/>
              <w:bottom w:type="dxa" w:w="90"/>
              <w:right w:type="dxa" w:w="160"/>
            </w:tcMar>
          </w:tcPr>
          <w:p>
            <w:pPr>
              <w:jc w:val="both"/>
            </w:pPr>
            <w:r>
              <w:rPr>
                <w:rFonts w:ascii="Georgia" w:cs="Georgia" w:eastAsia="Georgia" w:hAnsi="Georgia"/>
                <w:color w:val="1A1A1A"/>
                <w:sz w:val="22"/>
                <w:szCs w:val="22"/>
              </w:rPr>
              <w:t xml:space="preserve">Reflecting on one's own thinking processes, identifying patterns in how one learns and makes mistakes, and adapting practice accordingly. The learner treats their own intellectual development as an object of systematic study.</w:t>
            </w:r>
          </w:p>
        </w:tc>
      </w:tr>
      <w:tr>
        <w:tc>
          <w:tcPr>
            <w:tcW w:type="dxa" w:w="9026"/>
            <w:tcBorders>
              <w:top w:val="none"/>
              <w:left w:val="none"/>
              <w:bottom w:val="none"/>
              <w:right w:val="none"/>
            </w:tcBorders>
            <w:shd w:fill="F4F7FA"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F4F7FA" w:val="clear"/>
                  <w:tcMar>
                    <w:top w:type="dxa" w:w="80"/>
                    <w:left w:type="dxa" w:w="200"/>
                    <w:bottom w:type="dxa" w:w="80"/>
                    <w:right w:type="dxa" w:w="80"/>
                  </w:tcMar>
                </w:tcPr>
                <w:p>
                  <w:pPr>
                    <w:spacing w:after="30" w:before="0"/>
                  </w:pPr>
                  <w:r>
                    <w:rPr>
                      <w:rFonts w:ascii="Arial" w:cs="Arial" w:eastAsia="Arial" w:hAnsi="Arial"/>
                      <w:b/>
                      <w:bCs/>
                      <w:caps/>
                      <w:color w:val="2E75B6"/>
                      <w:sz w:val="14"/>
                      <w:szCs w:val="14"/>
                    </w:rPr>
                    <w:t xml:space="preserve">Codebook domains</w:t>
                  </w:r>
                </w:p>
                <w:p>
                  <w:r>
                    <w:rPr>
                      <w:rFonts w:ascii="Georgia" w:cs="Georgia" w:eastAsia="Georgia" w:hAnsi="Georgia"/>
                      <w:i/>
                      <w:iCs/>
                      <w:color w:val="1A1A1A"/>
                      <w:sz w:val="21"/>
                      <w:szCs w:val="21"/>
                    </w:rPr>
                    <w:t xml:space="preserve">PERS-4-07, PERS-4-08, PERS-4-10, ANLY-4-04, COMM-4-04</w:t>
                  </w:r>
                </w:p>
              </w:tc>
              <w:tc>
                <w:tcPr>
                  <w:tcW w:type="dxa" w:w="4513"/>
                  <w:tcBorders>
                    <w:top w:val="none"/>
                    <w:left w:val="none"/>
                    <w:bottom w:val="none"/>
                    <w:right w:val="none"/>
                  </w:tcBorders>
                  <w:shd w:fill="F4F7FA" w:val="clear"/>
                  <w:tcMar>
                    <w:top w:type="dxa" w:w="80"/>
                    <w:left w:type="dxa" w:w="80"/>
                    <w:bottom w:type="dxa" w:w="80"/>
                    <w:right w:type="dxa" w:w="200"/>
                  </w:tcMar>
                </w:tcPr>
                <w:p>
                  <w:pPr>
                    <w:spacing w:after="30" w:before="0"/>
                  </w:pPr>
                  <w:r>
                    <w:rPr>
                      <w:rFonts w:ascii="Arial" w:cs="Arial" w:eastAsia="Arial" w:hAnsi="Arial"/>
                      <w:b/>
                      <w:bCs/>
                      <w:caps/>
                      <w:color w:val="2E75B6"/>
                      <w:sz w:val="14"/>
                      <w:szCs w:val="14"/>
                    </w:rPr>
                    <w:t xml:space="preserve">Primary year</w:t>
                  </w:r>
                </w:p>
                <w:p>
                  <w:r>
                    <w:rPr>
                      <w:rFonts w:ascii="Georgia" w:cs="Georgia" w:eastAsia="Georgia" w:hAnsi="Georgia"/>
                      <w:color w:val="1A1A1A"/>
                      <w:sz w:val="21"/>
                      <w:szCs w:val="21"/>
                    </w:rPr>
                    <w:t xml:space="preserve">Introduced in Year 1 · Primary in Year 3 and Thesis</w:t>
                  </w:r>
                </w:p>
              </w:tc>
            </w:tr>
          </w:tbl>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none"/>
              <w:left w:val="none"/>
              <w:bottom w:val="none"/>
              <w:right w:val="none"/>
            </w:tcBorders>
            <w:shd w:fill="0D1F3C" w:val="clear"/>
            <w:tcMar>
              <w:top w:type="dxa" w:w="70"/>
              <w:left w:type="dxa" w:w="140"/>
              <w:bottom w:type="dxa" w:w="70"/>
              <w:right w:type="dxa" w:w="80"/>
            </w:tcMar>
          </w:tcPr>
          <w:p>
            <w:r>
              <w:rPr>
                <w:rFonts w:ascii="Arial" w:cs="Arial" w:eastAsia="Arial" w:hAnsi="Arial"/>
                <w:b/>
                <w:bCs/>
                <w:color w:val="FFFFFF"/>
                <w:sz w:val="16"/>
                <w:szCs w:val="16"/>
              </w:rPr>
              <w:t xml:space="preserve">Thinking Principle</w:t>
            </w:r>
          </w:p>
        </w:tc>
        <w:tc>
          <w:tcPr>
            <w:tcW w:type="dxa" w:w="2200"/>
            <w:tcBorders>
              <w:top w:val="none"/>
              <w:left w:val="none"/>
              <w:bottom w:val="none"/>
              <w:right w:val="none"/>
            </w:tcBorders>
            <w:shd w:fill="0D1F3C" w:val="clear"/>
            <w:tcMar>
              <w:top w:type="dxa" w:w="70"/>
              <w:left w:type="dxa" w:w="140"/>
              <w:bottom w:type="dxa" w:w="70"/>
              <w:right w:type="dxa" w:w="80"/>
            </w:tcMar>
          </w:tcPr>
          <w:p>
            <w:pPr>
              <w:jc w:val="center"/>
            </w:pPr>
            <w:r>
              <w:rPr>
                <w:rFonts w:ascii="Arial" w:cs="Arial" w:eastAsia="Arial" w:hAnsi="Arial"/>
                <w:b/>
                <w:bCs/>
                <w:color w:val="FFFFFF"/>
                <w:sz w:val="16"/>
                <w:szCs w:val="16"/>
              </w:rPr>
              <w:t xml:space="preserve">Year 1</w:t>
            </w:r>
          </w:p>
        </w:tc>
        <w:tc>
          <w:tcPr>
            <w:tcW w:type="dxa" w:w="2200"/>
            <w:tcBorders>
              <w:top w:val="none"/>
              <w:left w:val="none"/>
              <w:bottom w:val="none"/>
              <w:right w:val="none"/>
            </w:tcBorders>
            <w:shd w:fill="0D1F3C" w:val="clear"/>
            <w:tcMar>
              <w:top w:type="dxa" w:w="70"/>
              <w:left w:type="dxa" w:w="140"/>
              <w:bottom w:type="dxa" w:w="70"/>
              <w:right w:type="dxa" w:w="80"/>
            </w:tcMar>
          </w:tcPr>
          <w:p>
            <w:pPr>
              <w:jc w:val="center"/>
            </w:pPr>
            <w:r>
              <w:rPr>
                <w:rFonts w:ascii="Arial" w:cs="Arial" w:eastAsia="Arial" w:hAnsi="Arial"/>
                <w:b/>
                <w:bCs/>
                <w:color w:val="FFFFFF"/>
                <w:sz w:val="16"/>
                <w:szCs w:val="16"/>
              </w:rPr>
              <w:t xml:space="preserve">Year 2</w:t>
            </w:r>
          </w:p>
        </w:tc>
        <w:tc>
          <w:tcPr>
            <w:tcW w:type="dxa" w:w="2426"/>
            <w:tcBorders>
              <w:top w:val="none"/>
              <w:left w:val="none"/>
              <w:bottom w:val="none"/>
              <w:right w:val="none"/>
            </w:tcBorders>
            <w:shd w:fill="0D1F3C" w:val="clear"/>
            <w:tcMar>
              <w:top w:type="dxa" w:w="70"/>
              <w:left w:type="dxa" w:w="140"/>
              <w:bottom w:type="dxa" w:w="70"/>
              <w:right w:type="dxa" w:w="80"/>
            </w:tcMar>
          </w:tcPr>
          <w:p>
            <w:pPr>
              <w:jc w:val="center"/>
            </w:pPr>
            <w:r>
              <w:rPr>
                <w:rFonts w:ascii="Arial" w:cs="Arial" w:eastAsia="Arial" w:hAnsi="Arial"/>
                <w:b/>
                <w:bCs/>
                <w:color w:val="FFFFFF"/>
                <w:sz w:val="16"/>
                <w:szCs w:val="16"/>
              </w:rPr>
              <w:t xml:space="preserve">Year 3</w:t>
            </w:r>
          </w:p>
        </w:tc>
      </w:tr>
      <w:tr>
        <w:tc>
          <w:tcPr>
            <w:tcW w:type="dxa" w:w="2200"/>
            <w:tcBorders>
              <w:top w:val="none"/>
              <w:left w:val="none"/>
              <w:bottom w:val="none"/>
              <w:right w:val="none"/>
            </w:tcBorders>
            <w:shd w:fill="FFFFFF" w:val="clear"/>
            <w:tcMar>
              <w:top w:type="dxa" w:w="65"/>
              <w:left w:type="dxa" w:w="140"/>
              <w:bottom w:type="dxa" w:w="65"/>
              <w:right w:type="dxa" w:w="80"/>
            </w:tcMar>
          </w:tcPr>
          <w:p>
            <w:r>
              <w:rPr>
                <w:rFonts w:ascii="Arial" w:cs="Arial" w:eastAsia="Arial" w:hAnsi="Arial"/>
                <w:b/>
                <w:bCs/>
                <w:color w:val="1F3864"/>
                <w:sz w:val="17"/>
                <w:szCs w:val="17"/>
              </w:rPr>
              <w:t xml:space="preserve">TP-1  Abstraction</w:t>
            </w:r>
          </w:p>
        </w:tc>
        <w:tc>
          <w:tcPr>
            <w:tcW w:type="dxa" w:w="2200"/>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c>
          <w:tcPr>
            <w:tcW w:type="dxa" w:w="2200"/>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c>
          <w:tcPr>
            <w:tcW w:type="dxa" w:w="2426"/>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r>
      <w:tr>
        <w:tc>
          <w:tcPr>
            <w:tcW w:type="dxa" w:w="2200"/>
            <w:tcBorders>
              <w:top w:val="none"/>
              <w:left w:val="none"/>
              <w:bottom w:val="none"/>
              <w:right w:val="none"/>
            </w:tcBorders>
            <w:shd w:fill="F4F7FA" w:val="clear"/>
            <w:tcMar>
              <w:top w:type="dxa" w:w="65"/>
              <w:left w:type="dxa" w:w="140"/>
              <w:bottom w:type="dxa" w:w="65"/>
              <w:right w:type="dxa" w:w="80"/>
            </w:tcMar>
          </w:tcPr>
          <w:p>
            <w:r>
              <w:rPr>
                <w:rFonts w:ascii="Arial" w:cs="Arial" w:eastAsia="Arial" w:hAnsi="Arial"/>
                <w:b/>
                <w:bCs/>
                <w:color w:val="1F3864"/>
                <w:sz w:val="17"/>
                <w:szCs w:val="17"/>
              </w:rPr>
              <w:t xml:space="preserve">TP-2  Decomposition</w:t>
            </w:r>
          </w:p>
        </w:tc>
        <w:tc>
          <w:tcPr>
            <w:tcW w:type="dxa" w:w="2200"/>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c>
          <w:tcPr>
            <w:tcW w:type="dxa" w:w="2200"/>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c>
          <w:tcPr>
            <w:tcW w:type="dxa" w:w="2426"/>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r>
      <w:tr>
        <w:tc>
          <w:tcPr>
            <w:tcW w:type="dxa" w:w="2200"/>
            <w:tcBorders>
              <w:top w:val="none"/>
              <w:left w:val="none"/>
              <w:bottom w:val="none"/>
              <w:right w:val="none"/>
            </w:tcBorders>
            <w:shd w:fill="FFFFFF" w:val="clear"/>
            <w:tcMar>
              <w:top w:type="dxa" w:w="65"/>
              <w:left w:type="dxa" w:w="140"/>
              <w:bottom w:type="dxa" w:w="65"/>
              <w:right w:type="dxa" w:w="80"/>
            </w:tcMar>
          </w:tcPr>
          <w:p>
            <w:r>
              <w:rPr>
                <w:rFonts w:ascii="Arial" w:cs="Arial" w:eastAsia="Arial" w:hAnsi="Arial"/>
                <w:b/>
                <w:bCs/>
                <w:color w:val="1F3864"/>
                <w:sz w:val="17"/>
                <w:szCs w:val="17"/>
              </w:rPr>
              <w:t xml:space="preserve">TP-3  Transfer</w:t>
            </w:r>
          </w:p>
        </w:tc>
        <w:tc>
          <w:tcPr>
            <w:tcW w:type="dxa" w:w="2200"/>
            <w:tcBorders>
              <w:top w:val="none"/>
              <w:left w:val="none"/>
              <w:bottom w:val="none"/>
              <w:right w:val="none"/>
            </w:tcBorders>
            <w:shd w:fill="FFFFFF" w:val="clear"/>
            <w:tcMar>
              <w:top w:type="dxa" w:w="65"/>
              <w:left w:type="dxa" w:w="140"/>
              <w:bottom w:type="dxa" w:w="65"/>
              <w:right w:type="dxa" w:w="80"/>
            </w:tcMar>
          </w:tcPr>
          <w:p>
            <w:pPr>
              <w:jc w:val="center"/>
            </w:pPr>
            <w:r>
              <w:rPr>
                <w:rFonts w:ascii="Arial" w:cs="Arial" w:eastAsia="Arial" w:hAnsi="Arial"/>
                <w:b w:val="false"/>
                <w:bCs w:val="false"/>
                <w:color w:val="4A5568"/>
                <w:sz w:val="16"/>
                <w:szCs w:val="16"/>
              </w:rPr>
              <w:t xml:space="preserve">◑ Introduced</w:t>
            </w:r>
          </w:p>
        </w:tc>
        <w:tc>
          <w:tcPr>
            <w:tcW w:type="dxa" w:w="2200"/>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c>
          <w:tcPr>
            <w:tcW w:type="dxa" w:w="2426"/>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r>
      <w:tr>
        <w:tc>
          <w:tcPr>
            <w:tcW w:type="dxa" w:w="2200"/>
            <w:tcBorders>
              <w:top w:val="none"/>
              <w:left w:val="none"/>
              <w:bottom w:val="none"/>
              <w:right w:val="none"/>
            </w:tcBorders>
            <w:shd w:fill="F4F7FA" w:val="clear"/>
            <w:tcMar>
              <w:top w:type="dxa" w:w="65"/>
              <w:left w:type="dxa" w:w="140"/>
              <w:bottom w:type="dxa" w:w="65"/>
              <w:right w:type="dxa" w:w="80"/>
            </w:tcMar>
          </w:tcPr>
          <w:p>
            <w:r>
              <w:rPr>
                <w:rFonts w:ascii="Arial" w:cs="Arial" w:eastAsia="Arial" w:hAnsi="Arial"/>
                <w:b/>
                <w:bCs/>
                <w:color w:val="1F3864"/>
                <w:sz w:val="17"/>
                <w:szCs w:val="17"/>
              </w:rPr>
              <w:t xml:space="preserve">TP-4  Trade-off</w:t>
            </w:r>
          </w:p>
        </w:tc>
        <w:tc>
          <w:tcPr>
            <w:tcW w:type="dxa" w:w="2200"/>
            <w:tcBorders>
              <w:top w:val="none"/>
              <w:left w:val="none"/>
              <w:bottom w:val="none"/>
              <w:right w:val="none"/>
            </w:tcBorders>
            <w:shd w:fill="F4F7FA" w:val="clear"/>
            <w:tcMar>
              <w:top w:type="dxa" w:w="65"/>
              <w:left w:type="dxa" w:w="140"/>
              <w:bottom w:type="dxa" w:w="65"/>
              <w:right w:type="dxa" w:w="80"/>
            </w:tcMar>
          </w:tcPr>
          <w:p>
            <w:pPr>
              <w:jc w:val="center"/>
            </w:pPr>
            <w:r>
              <w:rPr>
                <w:rFonts w:ascii="Arial" w:cs="Arial" w:eastAsia="Arial" w:hAnsi="Arial"/>
                <w:b w:val="false"/>
                <w:bCs w:val="false"/>
                <w:color w:val="4A5568"/>
                <w:sz w:val="16"/>
                <w:szCs w:val="16"/>
              </w:rPr>
              <w:t xml:space="preserve">◑ Introduced</w:t>
            </w:r>
          </w:p>
        </w:tc>
        <w:tc>
          <w:tcPr>
            <w:tcW w:type="dxa" w:w="2200"/>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c>
          <w:tcPr>
            <w:tcW w:type="dxa" w:w="2426"/>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Deepened</w:t>
            </w:r>
          </w:p>
        </w:tc>
      </w:tr>
      <w:tr>
        <w:tc>
          <w:tcPr>
            <w:tcW w:type="dxa" w:w="2200"/>
            <w:tcBorders>
              <w:top w:val="none"/>
              <w:left w:val="none"/>
              <w:bottom w:val="none"/>
              <w:right w:val="none"/>
            </w:tcBorders>
            <w:shd w:fill="FFFFFF" w:val="clear"/>
            <w:tcMar>
              <w:top w:type="dxa" w:w="65"/>
              <w:left w:type="dxa" w:w="140"/>
              <w:bottom w:type="dxa" w:w="65"/>
              <w:right w:type="dxa" w:w="80"/>
            </w:tcMar>
          </w:tcPr>
          <w:p>
            <w:r>
              <w:rPr>
                <w:rFonts w:ascii="Arial" w:cs="Arial" w:eastAsia="Arial" w:hAnsi="Arial"/>
                <w:b/>
                <w:bCs/>
                <w:color w:val="1F3864"/>
                <w:sz w:val="17"/>
                <w:szCs w:val="17"/>
              </w:rPr>
              <w:t xml:space="preserve">TP-5  Evidence-Based Reasoning</w:t>
            </w:r>
          </w:p>
        </w:tc>
        <w:tc>
          <w:tcPr>
            <w:tcW w:type="dxa" w:w="2200"/>
            <w:tcBorders>
              <w:top w:val="none"/>
              <w:left w:val="none"/>
              <w:bottom w:val="none"/>
              <w:right w:val="none"/>
            </w:tcBorders>
            <w:shd w:fill="FFFFFF" w:val="clear"/>
            <w:tcMar>
              <w:top w:type="dxa" w:w="65"/>
              <w:left w:type="dxa" w:w="140"/>
              <w:bottom w:type="dxa" w:w="65"/>
              <w:right w:type="dxa" w:w="80"/>
            </w:tcMar>
          </w:tcPr>
          <w:p>
            <w:pPr>
              <w:jc w:val="center"/>
            </w:pPr>
            <w:r>
              <w:rPr>
                <w:rFonts w:ascii="Arial" w:cs="Arial" w:eastAsia="Arial" w:hAnsi="Arial"/>
                <w:b w:val="false"/>
                <w:bCs w:val="false"/>
                <w:color w:val="4A5568"/>
                <w:sz w:val="16"/>
                <w:szCs w:val="16"/>
              </w:rPr>
              <w:t xml:space="preserve">◑ Introduced</w:t>
            </w:r>
          </w:p>
        </w:tc>
        <w:tc>
          <w:tcPr>
            <w:tcW w:type="dxa" w:w="2200"/>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c>
          <w:tcPr>
            <w:tcW w:type="dxa" w:w="2426"/>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Essential</w:t>
            </w:r>
          </w:p>
        </w:tc>
      </w:tr>
      <w:tr>
        <w:tc>
          <w:tcPr>
            <w:tcW w:type="dxa" w:w="2200"/>
            <w:tcBorders>
              <w:top w:val="none"/>
              <w:left w:val="none"/>
              <w:bottom w:val="none"/>
              <w:right w:val="none"/>
            </w:tcBorders>
            <w:shd w:fill="F4F7FA" w:val="clear"/>
            <w:tcMar>
              <w:top w:type="dxa" w:w="65"/>
              <w:left w:type="dxa" w:w="140"/>
              <w:bottom w:type="dxa" w:w="65"/>
              <w:right w:type="dxa" w:w="80"/>
            </w:tcMar>
          </w:tcPr>
          <w:p>
            <w:r>
              <w:rPr>
                <w:rFonts w:ascii="Arial" w:cs="Arial" w:eastAsia="Arial" w:hAnsi="Arial"/>
                <w:b/>
                <w:bCs/>
                <w:color w:val="1F3864"/>
                <w:sz w:val="17"/>
                <w:szCs w:val="17"/>
              </w:rPr>
              <w:t xml:space="preserve">TP-6  Ethical Reflexivity</w:t>
            </w:r>
          </w:p>
        </w:tc>
        <w:tc>
          <w:tcPr>
            <w:tcW w:type="dxa" w:w="2200"/>
            <w:tcBorders>
              <w:top w:val="none"/>
              <w:left w:val="none"/>
              <w:bottom w:val="none"/>
              <w:right w:val="none"/>
            </w:tcBorders>
            <w:shd w:fill="F4F7FA" w:val="clear"/>
            <w:tcMar>
              <w:top w:type="dxa" w:w="65"/>
              <w:left w:type="dxa" w:w="140"/>
              <w:bottom w:type="dxa" w:w="65"/>
              <w:right w:type="dxa" w:w="80"/>
            </w:tcMar>
          </w:tcPr>
          <w:p>
            <w:pPr>
              <w:jc w:val="center"/>
            </w:pPr>
            <w:r>
              <w:rPr>
                <w:rFonts w:ascii="Arial" w:cs="Arial" w:eastAsia="Arial" w:hAnsi="Arial"/>
                <w:b w:val="false"/>
                <w:bCs w:val="false"/>
                <w:color w:val="4A5568"/>
                <w:sz w:val="16"/>
                <w:szCs w:val="16"/>
              </w:rPr>
              <w:t xml:space="preserve">◑ Introduced</w:t>
            </w:r>
          </w:p>
        </w:tc>
        <w:tc>
          <w:tcPr>
            <w:tcW w:type="dxa" w:w="2200"/>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c>
          <w:tcPr>
            <w:tcW w:type="dxa" w:w="2426"/>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r>
      <w:tr>
        <w:tc>
          <w:tcPr>
            <w:tcW w:type="dxa" w:w="2200"/>
            <w:tcBorders>
              <w:top w:val="none"/>
              <w:left w:val="none"/>
              <w:bottom w:val="none"/>
              <w:right w:val="none"/>
            </w:tcBorders>
            <w:shd w:fill="FFFFFF" w:val="clear"/>
            <w:tcMar>
              <w:top w:type="dxa" w:w="65"/>
              <w:left w:type="dxa" w:w="140"/>
              <w:bottom w:type="dxa" w:w="65"/>
              <w:right w:type="dxa" w:w="80"/>
            </w:tcMar>
          </w:tcPr>
          <w:p>
            <w:r>
              <w:rPr>
                <w:rFonts w:ascii="Arial" w:cs="Arial" w:eastAsia="Arial" w:hAnsi="Arial"/>
                <w:b/>
                <w:bCs/>
                <w:color w:val="1F3864"/>
                <w:sz w:val="17"/>
                <w:szCs w:val="17"/>
              </w:rPr>
              <w:t xml:space="preserve">TP-7  Meta-Learning</w:t>
            </w:r>
          </w:p>
        </w:tc>
        <w:tc>
          <w:tcPr>
            <w:tcW w:type="dxa" w:w="2200"/>
            <w:tcBorders>
              <w:top w:val="none"/>
              <w:left w:val="none"/>
              <w:bottom w:val="none"/>
              <w:right w:val="none"/>
            </w:tcBorders>
            <w:shd w:fill="FFFFFF" w:val="clear"/>
            <w:tcMar>
              <w:top w:type="dxa" w:w="65"/>
              <w:left w:type="dxa" w:w="140"/>
              <w:bottom w:type="dxa" w:w="65"/>
              <w:right w:type="dxa" w:w="80"/>
            </w:tcMar>
          </w:tcPr>
          <w:p>
            <w:pPr>
              <w:jc w:val="center"/>
            </w:pPr>
            <w:r>
              <w:rPr>
                <w:rFonts w:ascii="Arial" w:cs="Arial" w:eastAsia="Arial" w:hAnsi="Arial"/>
                <w:b w:val="false"/>
                <w:bCs w:val="false"/>
                <w:color w:val="4A5568"/>
                <w:sz w:val="16"/>
                <w:szCs w:val="16"/>
              </w:rPr>
              <w:t xml:space="preserve">◑ Introduced</w:t>
            </w:r>
          </w:p>
        </w:tc>
        <w:tc>
          <w:tcPr>
            <w:tcW w:type="dxa" w:w="2200"/>
            <w:tcBorders>
              <w:top w:val="none"/>
              <w:left w:val="none"/>
              <w:bottom w:val="none"/>
              <w:right w:val="none"/>
            </w:tcBorders>
            <w:shd w:fill="EEF4FB" w:val="clear"/>
            <w:tcMar>
              <w:top w:type="dxa" w:w="65"/>
              <w:left w:type="dxa" w:w="140"/>
              <w:bottom w:type="dxa" w:w="65"/>
              <w:right w:type="dxa" w:w="80"/>
            </w:tcMar>
          </w:tcPr>
          <w:p>
            <w:pPr>
              <w:jc w:val="center"/>
            </w:pPr>
            <w:r>
              <w:rPr>
                <w:rFonts w:ascii="Arial" w:cs="Arial" w:eastAsia="Arial" w:hAnsi="Arial"/>
                <w:b w:val="false"/>
                <w:bCs w:val="false"/>
                <w:color w:val="2E75B6"/>
                <w:sz w:val="16"/>
                <w:szCs w:val="16"/>
              </w:rPr>
              <w:t xml:space="preserve">● Present</w:t>
            </w:r>
          </w:p>
        </w:tc>
        <w:tc>
          <w:tcPr>
            <w:tcW w:type="dxa" w:w="2426"/>
            <w:tcBorders>
              <w:top w:val="none"/>
              <w:left w:val="none"/>
              <w:bottom w:val="none"/>
              <w:right w:val="none"/>
            </w:tcBorders>
            <w:shd w:fill="EAF5EE" w:val="clear"/>
            <w:tcMar>
              <w:top w:type="dxa" w:w="65"/>
              <w:left w:type="dxa" w:w="140"/>
              <w:bottom w:type="dxa" w:w="65"/>
              <w:right w:type="dxa" w:w="80"/>
            </w:tcMar>
          </w:tcPr>
          <w:p>
            <w:pPr>
              <w:jc w:val="center"/>
            </w:pPr>
            <w:r>
              <w:rPr>
                <w:rFonts w:ascii="Arial" w:cs="Arial" w:eastAsia="Arial" w:hAnsi="Arial"/>
                <w:b/>
                <w:bCs/>
                <w:color w:val="1A5C4A"/>
                <w:sz w:val="16"/>
                <w:szCs w:val="16"/>
              </w:rPr>
              <w:t xml:space="preserve">●● Primary</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The five-phase framework every module implements</w:t>
            </w:r>
          </w:p>
          <w:p>
            <w:pPr>
              <w:spacing w:after="0" w:before="0"/>
            </w:pPr>
            <w:r>
              <w:rPr>
                <w:rFonts w:ascii="Georgia" w:cs="Georgia" w:eastAsia="Georgia" w:hAnsi="Georgia"/>
                <w:b/>
                <w:bCs/>
                <w:color w:val="FFFFFF"/>
                <w:sz w:val="25"/>
                <w:szCs w:val="25"/>
              </w:rPr>
              <w:t xml:space="preserve">III.  The Didactic Unit Structure</w:t>
            </w:r>
          </w:p>
        </w:tc>
      </w:tr>
    </w:tbl>
    <w:p>
      <w:pPr>
        <w:spacing w:after="80" w:before="0"/>
      </w:pPr>
    </w:p>
    <w:p>
      <w:pPr>
        <w:spacing w:after="190" w:before="0"/>
        <w:jc w:val="both"/>
      </w:pPr>
      <w:r>
        <w:rPr>
          <w:rFonts w:ascii="Georgia" w:cs="Georgia" w:eastAsia="Georgia" w:hAnsi="Georgia"/>
          <w:b w:val="false"/>
          <w:bCs w:val="false"/>
          <w:i w:val="false"/>
          <w:iCs w:val="false"/>
          <w:color w:val="1A1A1A"/>
          <w:sz w:val="23"/>
          <w:szCs w:val="23"/>
        </w:rPr>
        <w:t xml:space="preserve">Every teaching unit across all three years of the programme follows a five-phase structure. The structure is not a rigid sequence — phases may vary in duration, in the proportion of time devoted to each, and in the specific formats used. What is invariant is the logic: the learner encounters the task before the concept, uses concept to complete the task, and reflects on both the task and the concept after completion. No unit begins with content exposition. Every unit ends with reflection on thinking, not review of content.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Phase</w:t>
            </w:r>
          </w:p>
        </w:tc>
        <w:tc>
          <w:tcPr>
            <w:tcW w:type="dxa" w:w="2000"/>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Name</w:t>
            </w:r>
          </w:p>
        </w:tc>
        <w:tc>
          <w:tcPr>
            <w:tcW w:type="dxa" w:w="6426"/>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What happens — and why</w:t>
            </w:r>
          </w:p>
        </w:tc>
      </w:tr>
      <w:tr>
        <w:tc>
          <w:tcPr>
            <w:tcW w:type="dxa" w:w="600"/>
            <w:tcBorders>
              <w:top w:val="none"/>
              <w:left w:val="none"/>
              <w:bottom w:val="none"/>
              <w:right w:val="none"/>
            </w:tcBorders>
            <w:shd w:fill="0D1F3C" w:val="clear"/>
            <w:tcMar>
              <w:top w:type="dxa" w:w="90"/>
              <w:left w:type="dxa" w:w="120"/>
              <w:bottom w:type="dxa" w:w="90"/>
              <w:right w:type="dxa" w:w="80"/>
            </w:tcMar>
          </w:tcPr>
          <w:p>
            <w:pPr>
              <w:spacing w:after="20" w:before="0"/>
              <w:jc w:val="center"/>
            </w:pPr>
            <w:r>
              <w:rPr>
                <w:rFonts w:ascii="Georgia" w:cs="Georgia" w:eastAsia="Georgia" w:hAnsi="Georgia"/>
                <w:b/>
                <w:bCs/>
                <w:color w:val="FFFFFF"/>
                <w:sz w:val="28"/>
                <w:szCs w:val="28"/>
              </w:rPr>
              <w:t xml:space="preserve">1</w:t>
            </w:r>
          </w:p>
          <w:p>
            <w:pPr>
              <w:spacing w:after="0" w:before="0"/>
              <w:jc w:val="center"/>
            </w:pPr>
            <w:r>
              <w:rPr>
                <w:rFonts w:ascii="Arial" w:cs="Arial" w:eastAsia="Arial" w:hAnsi="Arial"/>
                <w:color w:val="AACCEE"/>
                <w:sz w:val="13"/>
                <w:szCs w:val="13"/>
              </w:rPr>
              <w:t xml:space="preserve">10–20%</w:t>
            </w:r>
          </w:p>
        </w:tc>
        <w:tc>
          <w:tcPr>
            <w:tcW w:type="dxa" w:w="2000"/>
            <w:tcBorders>
              <w:top w:val="none"/>
              <w:left w:val="none"/>
              <w:bottom w:val="none"/>
              <w:right w:val="none"/>
            </w:tcBorders>
            <w:shd w:fill="F4F7FA" w:val="clear"/>
            <w:tcMar>
              <w:top w:type="dxa" w:w="90"/>
              <w:left w:type="dxa" w:w="140"/>
              <w:bottom w:type="dxa" w:w="90"/>
              <w:right w:type="dxa" w:w="80"/>
            </w:tcMar>
          </w:tcPr>
          <w:p>
            <w:r>
              <w:rPr>
                <w:rFonts w:ascii="Georgia" w:cs="Georgia" w:eastAsia="Georgia" w:hAnsi="Georgia"/>
                <w:b/>
                <w:bCs/>
                <w:color w:val="0D1F3C"/>
                <w:sz w:val="21"/>
                <w:szCs w:val="21"/>
              </w:rPr>
              <w:t xml:space="preserve">Hook Task</w:t>
            </w:r>
          </w:p>
        </w:tc>
        <w:tc>
          <w:tcPr>
            <w:tcW w:type="dxa" w:w="6426"/>
            <w:tcBorders>
              <w:top w:val="none"/>
              <w:left w:val="none"/>
              <w:bottom w:val="none"/>
              <w:right w:val="none"/>
            </w:tcBorders>
            <w:shd w:fill="FFFFFF" w:val="clear"/>
            <w:tcMar>
              <w:top w:type="dxa" w:w="90"/>
              <w:left w:type="dxa" w:w="140"/>
              <w:bottom w:type="dxa" w:w="90"/>
              <w:right w:type="dxa" w:w="140"/>
            </w:tcMar>
          </w:tcPr>
          <w:p>
            <w:pPr>
              <w:jc w:val="both"/>
            </w:pPr>
            <w:r>
              <w:rPr>
                <w:rFonts w:ascii="Georgia" w:cs="Georgia" w:eastAsia="Georgia" w:hAnsi="Georgia"/>
                <w:color w:val="1A1A1A"/>
                <w:sz w:val="21"/>
                <w:szCs w:val="21"/>
              </w:rPr>
              <w:t xml:space="preserve">The learner is presented with a real, bounded task that they cannot yet fully complete — but can attempt. The task is chosen because it will require the concept this unit teaches. The learner's attempt is not assessed; it is documented. The purpose of the Hook Task is twofold: to establish the relevance of the concept before it is taught, and to activate the learner's prior knowledge so that the new concept has something to attach to. In Year 1, Hook Tasks are simple and immediately interpretable. In Year 3, they are ill-structured and deliberately ambiguous.</w:t>
            </w:r>
          </w:p>
        </w:tc>
      </w:tr>
      <w:tr>
        <w:tc>
          <w:tcPr>
            <w:tcW w:type="dxa" w:w="600"/>
            <w:tcBorders>
              <w:top w:val="none"/>
              <w:left w:val="none"/>
              <w:bottom w:val="none"/>
              <w:right w:val="none"/>
            </w:tcBorders>
            <w:shd w:fill="1F3864" w:val="clear"/>
            <w:tcMar>
              <w:top w:type="dxa" w:w="90"/>
              <w:left w:type="dxa" w:w="120"/>
              <w:bottom w:type="dxa" w:w="90"/>
              <w:right w:type="dxa" w:w="80"/>
            </w:tcMar>
          </w:tcPr>
          <w:p>
            <w:pPr>
              <w:spacing w:after="20" w:before="0"/>
              <w:jc w:val="center"/>
            </w:pPr>
            <w:r>
              <w:rPr>
                <w:rFonts w:ascii="Georgia" w:cs="Georgia" w:eastAsia="Georgia" w:hAnsi="Georgia"/>
                <w:b/>
                <w:bCs/>
                <w:color w:val="FFFFFF"/>
                <w:sz w:val="28"/>
                <w:szCs w:val="28"/>
              </w:rPr>
              <w:t xml:space="preserve">2</w:t>
            </w:r>
          </w:p>
          <w:p>
            <w:pPr>
              <w:spacing w:after="0" w:before="0"/>
              <w:jc w:val="center"/>
            </w:pPr>
            <w:r>
              <w:rPr>
                <w:rFonts w:ascii="Arial" w:cs="Arial" w:eastAsia="Arial" w:hAnsi="Arial"/>
                <w:color w:val="AACCEE"/>
                <w:sz w:val="13"/>
                <w:szCs w:val="13"/>
              </w:rPr>
              <w:t xml:space="preserve">20–30%</w:t>
            </w:r>
          </w:p>
        </w:tc>
        <w:tc>
          <w:tcPr>
            <w:tcW w:type="dxa" w:w="2000"/>
            <w:tcBorders>
              <w:top w:val="none"/>
              <w:left w:val="none"/>
              <w:bottom w:val="none"/>
              <w:right w:val="none"/>
            </w:tcBorders>
            <w:shd w:fill="F4F7FA" w:val="clear"/>
            <w:tcMar>
              <w:top w:type="dxa" w:w="90"/>
              <w:left w:type="dxa" w:w="140"/>
              <w:bottom w:type="dxa" w:w="90"/>
              <w:right w:type="dxa" w:w="80"/>
            </w:tcMar>
          </w:tcPr>
          <w:p>
            <w:r>
              <w:rPr>
                <w:rFonts w:ascii="Georgia" w:cs="Georgia" w:eastAsia="Georgia" w:hAnsi="Georgia"/>
                <w:b/>
                <w:bCs/>
                <w:color w:val="1F3864"/>
                <w:sz w:val="21"/>
                <w:szCs w:val="21"/>
              </w:rPr>
              <w:t xml:space="preserve">Concept Input</w:t>
            </w:r>
          </w:p>
        </w:tc>
        <w:tc>
          <w:tcPr>
            <w:tcW w:type="dxa" w:w="6426"/>
            <w:tcBorders>
              <w:top w:val="none"/>
              <w:left w:val="none"/>
              <w:bottom w:val="none"/>
              <w:right w:val="none"/>
            </w:tcBorders>
            <w:shd w:fill="FFFFFF" w:val="clear"/>
            <w:tcMar>
              <w:top w:type="dxa" w:w="90"/>
              <w:left w:type="dxa" w:w="140"/>
              <w:bottom w:type="dxa" w:w="90"/>
              <w:right w:type="dxa" w:w="140"/>
            </w:tcMar>
          </w:tcPr>
          <w:p>
            <w:pPr>
              <w:jc w:val="both"/>
            </w:pPr>
            <w:r>
              <w:rPr>
                <w:rFonts w:ascii="Georgia" w:cs="Georgia" w:eastAsia="Georgia" w:hAnsi="Georgia"/>
                <w:color w:val="1A1A1A"/>
                <w:sz w:val="21"/>
                <w:szCs w:val="21"/>
              </w:rPr>
              <w:t xml:space="preserve">The concept, principle, or technique needed to complete the task is presented — but presented in minimal, usable form. The Concept Input is not a lecture covering all aspects of the topic. It is the specific conceptual tool the learner needs for the task at hand. Additional depth is available through the module's pull resources (readings, videos, worked examples), accessed on demand. The teacher's role in this phase is to make the concept accessible enough to be used, not to exhaustively expose it.</w:t>
            </w:r>
          </w:p>
        </w:tc>
      </w:tr>
      <w:tr>
        <w:tc>
          <w:tcPr>
            <w:tcW w:type="dxa" w:w="600"/>
            <w:tcBorders>
              <w:top w:val="none"/>
              <w:left w:val="none"/>
              <w:bottom w:val="none"/>
              <w:right w:val="none"/>
            </w:tcBorders>
            <w:shd w:fill="2E75B6" w:val="clear"/>
            <w:tcMar>
              <w:top w:type="dxa" w:w="90"/>
              <w:left w:type="dxa" w:w="120"/>
              <w:bottom w:type="dxa" w:w="90"/>
              <w:right w:type="dxa" w:w="80"/>
            </w:tcMar>
          </w:tcPr>
          <w:p>
            <w:pPr>
              <w:spacing w:after="20" w:before="0"/>
              <w:jc w:val="center"/>
            </w:pPr>
            <w:r>
              <w:rPr>
                <w:rFonts w:ascii="Georgia" w:cs="Georgia" w:eastAsia="Georgia" w:hAnsi="Georgia"/>
                <w:b/>
                <w:bCs/>
                <w:color w:val="FFFFFF"/>
                <w:sz w:val="28"/>
                <w:szCs w:val="28"/>
              </w:rPr>
              <w:t xml:space="preserve">3</w:t>
            </w:r>
          </w:p>
          <w:p>
            <w:pPr>
              <w:spacing w:after="0" w:before="0"/>
              <w:jc w:val="center"/>
            </w:pPr>
            <w:r>
              <w:rPr>
                <w:rFonts w:ascii="Arial" w:cs="Arial" w:eastAsia="Arial" w:hAnsi="Arial"/>
                <w:color w:val="AACCEE"/>
                <w:sz w:val="13"/>
                <w:szCs w:val="13"/>
              </w:rPr>
              <w:t xml:space="preserve">40–50%</w:t>
            </w:r>
          </w:p>
        </w:tc>
        <w:tc>
          <w:tcPr>
            <w:tcW w:type="dxa" w:w="2000"/>
            <w:tcBorders>
              <w:top w:val="none"/>
              <w:left w:val="none"/>
              <w:bottom w:val="none"/>
              <w:right w:val="none"/>
            </w:tcBorders>
            <w:shd w:fill="F4F7FA" w:val="clear"/>
            <w:tcMar>
              <w:top w:type="dxa" w:w="90"/>
              <w:left w:type="dxa" w:w="140"/>
              <w:bottom w:type="dxa" w:w="90"/>
              <w:right w:type="dxa" w:w="80"/>
            </w:tcMar>
          </w:tcPr>
          <w:p>
            <w:r>
              <w:rPr>
                <w:rFonts w:ascii="Georgia" w:cs="Georgia" w:eastAsia="Georgia" w:hAnsi="Georgia"/>
                <w:b/>
                <w:bCs/>
                <w:color w:val="2E75B6"/>
                <w:sz w:val="21"/>
                <w:szCs w:val="21"/>
              </w:rPr>
              <w:t xml:space="preserve">Practice Tasks</w:t>
            </w:r>
          </w:p>
        </w:tc>
        <w:tc>
          <w:tcPr>
            <w:tcW w:type="dxa" w:w="6426"/>
            <w:tcBorders>
              <w:top w:val="none"/>
              <w:left w:val="none"/>
              <w:bottom w:val="none"/>
              <w:right w:val="none"/>
            </w:tcBorders>
            <w:shd w:fill="FFFFFF" w:val="clear"/>
            <w:tcMar>
              <w:top w:type="dxa" w:w="90"/>
              <w:left w:type="dxa" w:w="140"/>
              <w:bottom w:type="dxa" w:w="90"/>
              <w:right w:type="dxa" w:w="140"/>
            </w:tcMar>
          </w:tcPr>
          <w:p>
            <w:pPr>
              <w:jc w:val="both"/>
            </w:pPr>
            <w:r>
              <w:rPr>
                <w:rFonts w:ascii="Georgia" w:cs="Georgia" w:eastAsia="Georgia" w:hAnsi="Georgia"/>
                <w:color w:val="1A1A1A"/>
                <w:sz w:val="21"/>
                <w:szCs w:val="21"/>
              </w:rPr>
              <w:t xml:space="preserve">The learner applies the concept through a sequence of structured practice tasks of increasing complexity. Practice tasks are explicitly mapped to codebook competency entries at defined Bloom levels. In Year 1, practice tasks are highly structured with templates provided. In Year 2, templates are partially provided. In Year 3, the learner designs their own approach. Feedback during practice tasks is formative and immediate: it addresses the thinking move, not the answer.</w:t>
            </w:r>
          </w:p>
        </w:tc>
      </w:tr>
      <w:tr>
        <w:tc>
          <w:tcPr>
            <w:tcW w:type="dxa" w:w="600"/>
            <w:tcBorders>
              <w:top w:val="none"/>
              <w:left w:val="none"/>
              <w:bottom w:val="none"/>
              <w:right w:val="none"/>
            </w:tcBorders>
            <w:shd w:fill="1A5C4A" w:val="clear"/>
            <w:tcMar>
              <w:top w:type="dxa" w:w="90"/>
              <w:left w:type="dxa" w:w="120"/>
              <w:bottom w:type="dxa" w:w="90"/>
              <w:right w:type="dxa" w:w="80"/>
            </w:tcMar>
          </w:tcPr>
          <w:p>
            <w:pPr>
              <w:spacing w:after="20" w:before="0"/>
              <w:jc w:val="center"/>
            </w:pPr>
            <w:r>
              <w:rPr>
                <w:rFonts w:ascii="Georgia" w:cs="Georgia" w:eastAsia="Georgia" w:hAnsi="Georgia"/>
                <w:b/>
                <w:bCs/>
                <w:color w:val="FFFFFF"/>
                <w:sz w:val="28"/>
                <w:szCs w:val="28"/>
              </w:rPr>
              <w:t xml:space="preserve">4</w:t>
            </w:r>
          </w:p>
          <w:p>
            <w:pPr>
              <w:spacing w:after="0" w:before="0"/>
              <w:jc w:val="center"/>
            </w:pPr>
            <w:r>
              <w:rPr>
                <w:rFonts w:ascii="Arial" w:cs="Arial" w:eastAsia="Arial" w:hAnsi="Arial"/>
                <w:color w:val="AACCEE"/>
                <w:sz w:val="13"/>
                <w:szCs w:val="13"/>
              </w:rPr>
              <w:t xml:space="preserve">15–25%</w:t>
            </w:r>
          </w:p>
        </w:tc>
        <w:tc>
          <w:tcPr>
            <w:tcW w:type="dxa" w:w="2000"/>
            <w:tcBorders>
              <w:top w:val="none"/>
              <w:left w:val="none"/>
              <w:bottom w:val="none"/>
              <w:right w:val="none"/>
            </w:tcBorders>
            <w:shd w:fill="F4F7FA" w:val="clear"/>
            <w:tcMar>
              <w:top w:type="dxa" w:w="90"/>
              <w:left w:type="dxa" w:w="140"/>
              <w:bottom w:type="dxa" w:w="90"/>
              <w:right w:type="dxa" w:w="80"/>
            </w:tcMar>
          </w:tcPr>
          <w:p>
            <w:r>
              <w:rPr>
                <w:rFonts w:ascii="Georgia" w:cs="Georgia" w:eastAsia="Georgia" w:hAnsi="Georgia"/>
                <w:b/>
                <w:bCs/>
                <w:color w:val="1A5C4A"/>
                <w:sz w:val="21"/>
                <w:szCs w:val="21"/>
              </w:rPr>
              <w:t xml:space="preserve">Transfer Task</w:t>
            </w:r>
          </w:p>
        </w:tc>
        <w:tc>
          <w:tcPr>
            <w:tcW w:type="dxa" w:w="6426"/>
            <w:tcBorders>
              <w:top w:val="none"/>
              <w:left w:val="none"/>
              <w:bottom w:val="none"/>
              <w:right w:val="none"/>
            </w:tcBorders>
            <w:shd w:fill="FFFFFF" w:val="clear"/>
            <w:tcMar>
              <w:top w:type="dxa" w:w="90"/>
              <w:left w:type="dxa" w:w="140"/>
              <w:bottom w:type="dxa" w:w="90"/>
              <w:right w:type="dxa" w:w="140"/>
            </w:tcMar>
          </w:tcPr>
          <w:p>
            <w:pPr>
              <w:jc w:val="both"/>
            </w:pPr>
            <w:r>
              <w:rPr>
                <w:rFonts w:ascii="Georgia" w:cs="Georgia" w:eastAsia="Georgia" w:hAnsi="Georgia"/>
                <w:color w:val="1A1A1A"/>
                <w:sz w:val="21"/>
                <w:szCs w:val="21"/>
              </w:rPr>
              <w:t xml:space="preserve">The learner applies the concept in a context that is structurally similar to the practice tasks but presented through a different domain or scenario. The Transfer Task is the critical assessment point: a learner who can complete it has demonstrated that they have acquired the concept as a thinking tool, not as a domain-specific procedure. Transfer Tasks are the primary evidence collected for Europass credential issuance.</w:t>
            </w:r>
          </w:p>
        </w:tc>
      </w:tr>
      <w:tr>
        <w:tc>
          <w:tcPr>
            <w:tcW w:type="dxa" w:w="600"/>
            <w:tcBorders>
              <w:top w:val="none"/>
              <w:left w:val="none"/>
              <w:bottom w:val="none"/>
              <w:right w:val="none"/>
            </w:tcBorders>
            <w:shd w:fill="4A1A6B" w:val="clear"/>
            <w:tcMar>
              <w:top w:type="dxa" w:w="90"/>
              <w:left w:type="dxa" w:w="120"/>
              <w:bottom w:type="dxa" w:w="90"/>
              <w:right w:type="dxa" w:w="80"/>
            </w:tcMar>
          </w:tcPr>
          <w:p>
            <w:pPr>
              <w:spacing w:after="20" w:before="0"/>
              <w:jc w:val="center"/>
            </w:pPr>
            <w:r>
              <w:rPr>
                <w:rFonts w:ascii="Georgia" w:cs="Georgia" w:eastAsia="Georgia" w:hAnsi="Georgia"/>
                <w:b/>
                <w:bCs/>
                <w:color w:val="FFFFFF"/>
                <w:sz w:val="28"/>
                <w:szCs w:val="28"/>
              </w:rPr>
              <w:t xml:space="preserve">5</w:t>
            </w:r>
          </w:p>
          <w:p>
            <w:pPr>
              <w:spacing w:after="0" w:before="0"/>
              <w:jc w:val="center"/>
            </w:pPr>
            <w:r>
              <w:rPr>
                <w:rFonts w:ascii="Arial" w:cs="Arial" w:eastAsia="Arial" w:hAnsi="Arial"/>
                <w:color w:val="AACCEE"/>
                <w:sz w:val="13"/>
                <w:szCs w:val="13"/>
              </w:rPr>
              <w:t xml:space="preserve">10–15%</w:t>
            </w:r>
          </w:p>
        </w:tc>
        <w:tc>
          <w:tcPr>
            <w:tcW w:type="dxa" w:w="2000"/>
            <w:tcBorders>
              <w:top w:val="none"/>
              <w:left w:val="none"/>
              <w:bottom w:val="none"/>
              <w:right w:val="none"/>
            </w:tcBorders>
            <w:shd w:fill="F4F7FA" w:val="clear"/>
            <w:tcMar>
              <w:top w:type="dxa" w:w="90"/>
              <w:left w:type="dxa" w:w="140"/>
              <w:bottom w:type="dxa" w:w="90"/>
              <w:right w:type="dxa" w:w="80"/>
            </w:tcMar>
          </w:tcPr>
          <w:p>
            <w:r>
              <w:rPr>
                <w:rFonts w:ascii="Georgia" w:cs="Georgia" w:eastAsia="Georgia" w:hAnsi="Georgia"/>
                <w:b/>
                <w:bCs/>
                <w:color w:val="4A1A6B"/>
                <w:sz w:val="21"/>
                <w:szCs w:val="21"/>
              </w:rPr>
              <w:t xml:space="preserve">Thinking Reflection</w:t>
            </w:r>
          </w:p>
        </w:tc>
        <w:tc>
          <w:tcPr>
            <w:tcW w:type="dxa" w:w="6426"/>
            <w:tcBorders>
              <w:top w:val="none"/>
              <w:left w:val="none"/>
              <w:bottom w:val="none"/>
              <w:right w:val="none"/>
            </w:tcBorders>
            <w:shd w:fill="FFFFFF" w:val="clear"/>
            <w:tcMar>
              <w:top w:type="dxa" w:w="90"/>
              <w:left w:type="dxa" w:w="140"/>
              <w:bottom w:type="dxa" w:w="90"/>
              <w:right w:type="dxa" w:w="140"/>
            </w:tcMar>
          </w:tcPr>
          <w:p>
            <w:pPr>
              <w:jc w:val="both"/>
            </w:pPr>
            <w:r>
              <w:rPr>
                <w:rFonts w:ascii="Georgia" w:cs="Georgia" w:eastAsia="Georgia" w:hAnsi="Georgia"/>
                <w:color w:val="1A1A1A"/>
                <w:sz w:val="21"/>
                <w:szCs w:val="21"/>
              </w:rPr>
              <w:t xml:space="preserve">The learner documents their thinking process: which Thinking Principle they activated, where they were uncertain, what they would do differently, and how this task connects to other tasks they have completed. The Reflection is added to the learner's Thinking Portfolio. In Year 1, reflection prompts are provided. In Year 3, the learner writes their own reflection framework. The portfolio of reflections is the primary evidence for the Meta-Learning (TP-7) strand and forms the intellectual basis of the Bachelor Thesis.</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Learning to See · Learning to Choose · Learning to Be Responsible</w:t>
            </w:r>
          </w:p>
          <w:p>
            <w:pPr>
              <w:spacing w:after="0" w:before="0"/>
            </w:pPr>
            <w:r>
              <w:rPr>
                <w:rFonts w:ascii="Georgia" w:cs="Georgia" w:eastAsia="Georgia" w:hAnsi="Georgia"/>
                <w:b/>
                <w:bCs/>
                <w:color w:val="FFFFFF"/>
                <w:sz w:val="25"/>
                <w:szCs w:val="25"/>
              </w:rPr>
              <w:t xml:space="preserve">IV.  The Year Architecture</w:t>
            </w:r>
          </w:p>
        </w:tc>
      </w:tr>
    </w:tbl>
    <w:p>
      <w:pPr>
        <w:spacing w:after="80" w:before="0"/>
      </w:pPr>
    </w:p>
    <w:p>
      <w:pPr>
        <w:pStyle w:val="Heading2"/>
        <w:spacing w:after="110" w:before="340"/>
      </w:pPr>
      <w:r>
        <w:rPr>
          <w:rFonts w:ascii="Georgia" w:cs="Georgia" w:eastAsia="Georgia" w:hAnsi="Georgia"/>
          <w:b/>
          <w:bCs/>
          <w:color w:val="2E75B6"/>
          <w:sz w:val="25"/>
          <w:szCs w:val="25"/>
        </w:rPr>
        <w:t xml:space="preserve">Year 1 — Learning to See (Bloom Average 2.1)</w:t>
      </w:r>
    </w:p>
    <w:p>
      <w:pPr>
        <w:spacing w:after="190" w:before="0"/>
        <w:jc w:val="both"/>
      </w:pPr>
      <w:r>
        <w:rPr>
          <w:rFonts w:ascii="Georgia" w:cs="Georgia" w:eastAsia="Georgia" w:hAnsi="Georgia"/>
          <w:b w:val="false"/>
          <w:bCs w:val="false"/>
          <w:i w:val="false"/>
          <w:iCs w:val="false"/>
          <w:color w:val="1A1A1A"/>
          <w:sz w:val="23"/>
          <w:szCs w:val="23"/>
        </w:rPr>
        <w:t xml:space="preserve">Year 1 is the institution's most important didactic commitment. Every structural decision made in Year 1 determines the quality of trust that learners bring to Years 2 and 3. The dominant Thinking Principles are Abstraction (TP-1) and Decomposition (TP-2): the learner is developing the fundamental capacity to see structure in unfamiliar situations and to break complex challenges into manageable components. Content serves this development — it does not precede it.</w:t>
      </w:r>
    </w:p>
    <w:p>
      <w:pPr>
        <w:spacing w:after="190" w:before="0"/>
        <w:jc w:val="both"/>
      </w:pPr>
      <w:r>
        <w:rPr>
          <w:rFonts w:ascii="Georgia" w:cs="Georgia" w:eastAsia="Georgia" w:hAnsi="Georgia"/>
          <w:b w:val="false"/>
          <w:bCs w:val="false"/>
          <w:i w:val="false"/>
          <w:iCs w:val="false"/>
          <w:color w:val="1A1A1A"/>
          <w:sz w:val="23"/>
          <w:szCs w:val="23"/>
        </w:rPr>
        <w:t xml:space="preserve">The most significant structural redesign in Year 1 is the integration of the three currently isolated modules — Learning &amp; Study Methods, Scientific Writing, and Business Management — into a continuous Thinking Practice thread that runs across the full year. These modules currently function as independent content deliveries. In the redesigned framework, they become the metacognitive and professional anchor of Year 1: the thread in which learners document their thinking development across all other modules, learn to read and write critically in the context of computer science, and situate their technical work in the professional and societal world that will use it. The thread produces the first layer of the Thinking Portfolio that becomes the intellectual basis of the thesis.</w:t>
      </w:r>
    </w:p>
    <w:p>
      <w:pPr>
        <w:spacing w:after="190" w:before="0"/>
        <w:jc w:val="both"/>
      </w:pPr>
      <w:r>
        <w:rPr>
          <w:rFonts w:ascii="Georgia" w:cs="Georgia" w:eastAsia="Georgia" w:hAnsi="Georgia"/>
          <w:b w:val="false"/>
          <w:bCs w:val="false"/>
          <w:i w:val="false"/>
          <w:iCs w:val="false"/>
          <w:color w:val="1A1A1A"/>
          <w:sz w:val="23"/>
          <w:szCs w:val="23"/>
        </w:rPr>
        <w:t xml:space="preserve">The Hook Task for Year 1, Module 1 — 'Programming Foundations' — is not a programming exercise. It is a real problem that any working adult would recognise: a vending machine that sometimes gives the wrong change. The learner is asked to describe its behaviour — not to code it. This task activates Abstraction and Decomposition before a single line of syntax is taught, and it establishes from the first session that what this programme teaches is how to think about systems, not how to follow syntax rules.</w:t>
      </w:r>
    </w:p>
    <w:p>
      <w:pPr>
        <w:pStyle w:val="Heading2"/>
        <w:spacing w:after="110" w:before="340"/>
      </w:pPr>
      <w:r>
        <w:rPr>
          <w:rFonts w:ascii="Georgia" w:cs="Georgia" w:eastAsia="Georgia" w:hAnsi="Georgia"/>
          <w:b/>
          <w:bCs/>
          <w:color w:val="2E75B6"/>
          <w:sz w:val="25"/>
          <w:szCs w:val="25"/>
        </w:rPr>
        <w:t xml:space="preserve">Year 2 — Learning to Choose (Bloom Average 2.5)</w:t>
      </w:r>
    </w:p>
    <w:p>
      <w:pPr>
        <w:spacing w:after="190" w:before="0"/>
        <w:jc w:val="both"/>
      </w:pPr>
      <w:r>
        <w:rPr>
          <w:rFonts w:ascii="Georgia" w:cs="Georgia" w:eastAsia="Georgia" w:hAnsi="Georgia"/>
          <w:b w:val="false"/>
          <w:bCs w:val="false"/>
          <w:i w:val="false"/>
          <w:iCs w:val="false"/>
          <w:color w:val="1A1A1A"/>
          <w:sz w:val="23"/>
          <w:szCs w:val="23"/>
        </w:rPr>
        <w:t xml:space="preserve">Year 2 is when the learner stops following templates and starts making genuine decisions. The dominant Thinking Principles shift to Transfer (TP-3), Trade-off (TP-4), and Evidence-Based Reasoning (TP-5). The learner is asked to choose between competing approaches, justify choices with evidence, and recognise patterns from one domain reappearing in another.</w:t>
      </w:r>
    </w:p>
    <w:p>
      <w:pPr>
        <w:spacing w:after="190" w:before="0"/>
        <w:jc w:val="both"/>
      </w:pPr>
      <w:r>
        <w:rPr>
          <w:rFonts w:ascii="Georgia" w:cs="Georgia" w:eastAsia="Georgia" w:hAnsi="Georgia"/>
          <w:b w:val="false"/>
          <w:bCs w:val="false"/>
          <w:i w:val="false"/>
          <w:iCs w:val="false"/>
          <w:color w:val="1A1A1A"/>
          <w:sz w:val="23"/>
          <w:szCs w:val="23"/>
        </w:rPr>
        <w:t xml:space="preserve">The most significant structural redesign in Year 2 is the integration of Formal Languages I and II with the Transfer principle as an explicit pedagogical target. These modules are currently taught as theoretical computer science. In the redesigned framework, every formal language concept is introduced through a worked example from a different domain: finite automata through network packet filtering, context-free grammars through compiler design and then through natural language processing, regular expressions through data cleaning. The mathematical content is unchanged. The entry point changes — and with it, the kind of thinking the module develops.</w:t>
      </w:r>
    </w:p>
    <w:p>
      <w:pPr>
        <w:spacing w:after="190" w:before="0"/>
        <w:jc w:val="both"/>
      </w:pPr>
      <w:r>
        <w:rPr>
          <w:rFonts w:ascii="Georgia" w:cs="Georgia" w:eastAsia="Georgia" w:hAnsi="Georgia"/>
          <w:b w:val="false"/>
          <w:bCs w:val="false"/>
          <w:i w:val="false"/>
          <w:iCs w:val="false"/>
          <w:color w:val="1A1A1A"/>
          <w:sz w:val="23"/>
          <w:szCs w:val="23"/>
        </w:rPr>
        <w:t xml:space="preserve">Applied Mathematics and Statistics are redesigned as an integrated Evidence-Based Reasoning module. Every mathematical method is introduced through a real dataset and a question that requires evidence to answer. Students do not learn hypothesis testing and then apply it; they encounter a question that requires hypothesis testing and are taught the tool in service of answering it.</w:t>
      </w:r>
    </w:p>
    <w:p>
      <w:pPr>
        <w:pStyle w:val="Heading2"/>
        <w:spacing w:after="110" w:before="340"/>
      </w:pPr>
      <w:r>
        <w:rPr>
          <w:rFonts w:ascii="Georgia" w:cs="Georgia" w:eastAsia="Georgia" w:hAnsi="Georgia"/>
          <w:b/>
          <w:bCs/>
          <w:color w:val="2E75B6"/>
          <w:sz w:val="25"/>
          <w:szCs w:val="25"/>
        </w:rPr>
        <w:t xml:space="preserve">Year 3 — Learning to Be Responsible (Bloom Average 3.0+)</w:t>
      </w:r>
    </w:p>
    <w:p>
      <w:pPr>
        <w:spacing w:after="190" w:before="0"/>
        <w:jc w:val="both"/>
      </w:pPr>
      <w:r>
        <w:rPr>
          <w:rFonts w:ascii="Georgia" w:cs="Georgia" w:eastAsia="Georgia" w:hAnsi="Georgia"/>
          <w:b w:val="false"/>
          <w:bCs w:val="false"/>
          <w:i w:val="false"/>
          <w:iCs w:val="false"/>
          <w:color w:val="1A1A1A"/>
          <w:sz w:val="23"/>
          <w:szCs w:val="23"/>
        </w:rPr>
        <w:t xml:space="preserve">Year 3 is when the learner becomes accountable for their own judgements. The dominant Thinking Principles are Ethical Reflexivity (TP-6) and Meta-Learning (TP-7), alongside the deepening of Trade-off and Evidence-Based Reasoning. Every Year 3 module asks: what are the consequences of your choices for people who are not in the room? And: what have you learned about how you think?</w:t>
      </w:r>
    </w:p>
    <w:p>
      <w:pPr>
        <w:spacing w:after="190" w:before="0"/>
        <w:jc w:val="both"/>
      </w:pPr>
      <w:r>
        <w:rPr>
          <w:rFonts w:ascii="Georgia" w:cs="Georgia" w:eastAsia="Georgia" w:hAnsi="Georgia"/>
          <w:b w:val="false"/>
          <w:bCs w:val="false"/>
          <w:i w:val="false"/>
          <w:iCs w:val="false"/>
          <w:color w:val="1A1A1A"/>
          <w:sz w:val="23"/>
          <w:szCs w:val="23"/>
        </w:rPr>
        <w:t xml:space="preserve">The most significant structural redesign in Year 3 is the repositioning of Human-Computer Interaction and Design Thinking as the Year 3 entry point rather than Year 2 electives. The first Year 3 task is a design critique of a real deployed system — chosen by the learner — using both HCI principles and ethical reasoning. This task makes the transition from Year 2 (choosing) to Year 3 (being responsible for choices) visible and designed rather than implicit.</w:t>
      </w:r>
    </w:p>
    <w:p>
      <w:pPr>
        <w:spacing w:after="190" w:before="0"/>
        <w:jc w:val="both"/>
      </w:pPr>
      <w:r>
        <w:rPr>
          <w:rFonts w:ascii="Georgia" w:cs="Georgia" w:eastAsia="Georgia" w:hAnsi="Georgia"/>
          <w:b w:val="false"/>
          <w:bCs w:val="false"/>
          <w:i w:val="false"/>
          <w:iCs w:val="false"/>
          <w:color w:val="1A1A1A"/>
          <w:sz w:val="23"/>
          <w:szCs w:val="23"/>
        </w:rPr>
        <w:t xml:space="preserve">The Applied Research module is redesigned as the Meta-Learning anchor: this module explicitly teaches the learner to analyse their own intellectual development across three years. The learner produces a structured account of what they know, how they know it, and what they would do differently. This account feeds directly into the thesis framing. The Games module (T4INF4900) at Bloom average 3.47 is the current exemplar of Year 3 design done correctly: a module assessed through a functioning prototype, ethical game design reasoning embedded in the assessment criteria, and AI integration treated as a reflective rather than a passive activity.</w:t>
      </w:r>
    </w:p>
    <w:p>
      <w:pPr>
        <w:pStyle w:val="Heading2"/>
        <w:spacing w:after="110" w:before="340"/>
      </w:pPr>
      <w:r>
        <w:rPr>
          <w:rFonts w:ascii="Georgia" w:cs="Georgia" w:eastAsia="Georgia" w:hAnsi="Georgia"/>
          <w:b/>
          <w:bCs/>
          <w:color w:val="2E75B6"/>
          <w:sz w:val="25"/>
          <w:szCs w:val="25"/>
        </w:rPr>
        <w:t xml:space="preserve">The Capstone — Demonstrating Transfer and Ethical Reflexivity</w:t>
      </w:r>
    </w:p>
    <w:p>
      <w:pPr>
        <w:spacing w:after="190" w:before="0"/>
        <w:jc w:val="both"/>
      </w:pPr>
      <w:r>
        <w:rPr>
          <w:rFonts w:ascii="Georgia" w:cs="Georgia" w:eastAsia="Georgia" w:hAnsi="Georgia"/>
          <w:b w:val="false"/>
          <w:bCs w:val="false"/>
          <w:i w:val="false"/>
          <w:iCs w:val="false"/>
          <w:color w:val="1A1A1A"/>
          <w:sz w:val="23"/>
          <w:szCs w:val="23"/>
        </w:rPr>
        <w:t xml:space="preserve">The Capstone is redesigned as an explicit Transfer and Ethical Reflexivity demonstration. The learner must show two things that cannot be demonstrated in a single-domain module: that they can apply a principle encountered in one domain to a structurally similar problem in an unfamiliar domain (Transfer, TP-3), and that they can account for the ethical dimensions of their design choices to an audience that includes non-technical stakeholders (Ethical Reflexivity, TP-6). The Capstone rubric maps directly to the codebook and is public: learners, partners, and employers can read it before the Capstone is attempted.</w:t>
      </w:r>
    </w:p>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All modules · Thinking Principles · Bloom levels · Redesign status</w:t>
            </w:r>
          </w:p>
          <w:p>
            <w:pPr>
              <w:spacing w:after="0" w:before="0"/>
            </w:pPr>
            <w:r>
              <w:rPr>
                <w:rFonts w:ascii="Georgia" w:cs="Georgia" w:eastAsia="Georgia" w:hAnsi="Georgia"/>
                <w:b/>
                <w:bCs/>
                <w:color w:val="FFFFFF"/>
                <w:sz w:val="25"/>
                <w:szCs w:val="25"/>
              </w:rPr>
              <w:t xml:space="preserve">V.  Module Architecture Table</w:t>
            </w:r>
          </w:p>
        </w:tc>
      </w:tr>
    </w:tbl>
    <w:p>
      <w:pPr>
        <w:spacing w:after="60" w:before="0"/>
      </w:pPr>
    </w:p>
    <w:p>
      <w:pPr>
        <w:spacing w:after="80" w:before="0"/>
        <w:jc w:val="both"/>
      </w:pPr>
      <w:r>
        <w:rPr>
          <w:rFonts w:ascii="Georgia" w:cs="Georgia" w:eastAsia="Georgia" w:hAnsi="Georgia"/>
          <w:b w:val="false"/>
          <w:bCs w:val="false"/>
          <w:i w:val="false"/>
          <w:iCs w:val="false"/>
          <w:color w:val="1A1A1A"/>
          <w:sz w:val="23"/>
          <w:szCs w:val="23"/>
        </w:rPr>
        <w:t xml:space="preserve">The table below maps every module in the programme to its primary and secondary Thinking Principle, its Bloom level target, its task type, and its redesign status. Redesign status: ● Full rethink (entry point, task design, and assessment redesigned) · ◑ Moderate (task layer added, LOs unchanged) · — Minimal (existing design already consistent with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
        <w:gridCol w:w="1000"/>
        <w:gridCol w:w="320"/>
        <w:gridCol w:w="700"/>
        <w:gridCol w:w="600"/>
        <w:gridCol w:w="400"/>
        <w:gridCol w:w="1126"/>
        <w:gridCol w:w="600"/>
      </w:tblGrid>
      <w:tr>
        <w:tc>
          <w:tcPr>
            <w:tcW w:type="dxa" w:w="7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Code</w:t>
            </w:r>
          </w:p>
        </w:tc>
        <w:tc>
          <w:tcPr>
            <w:tcW w:type="dxa" w:w="22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Module</w:t>
            </w:r>
          </w:p>
        </w:tc>
        <w:tc>
          <w:tcPr>
            <w:tcW w:type="dxa" w:w="38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ECTS</w:t>
            </w:r>
          </w:p>
        </w:tc>
        <w:tc>
          <w:tcPr>
            <w:tcW w:type="dxa" w:w="10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Stream</w:t>
            </w:r>
          </w:p>
        </w:tc>
        <w:tc>
          <w:tcPr>
            <w:tcW w:type="dxa" w:w="32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Yr</w:t>
            </w:r>
          </w:p>
        </w:tc>
        <w:tc>
          <w:tcPr>
            <w:tcW w:type="dxa" w:w="7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TP Primary</w:t>
            </w:r>
          </w:p>
        </w:tc>
        <w:tc>
          <w:tcPr>
            <w:tcW w:type="dxa" w:w="6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TP2</w:t>
            </w:r>
          </w:p>
        </w:tc>
        <w:tc>
          <w:tcPr>
            <w:tcW w:type="dxa" w:w="4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Bloom</w:t>
            </w:r>
          </w:p>
        </w:tc>
        <w:tc>
          <w:tcPr>
            <w:tcW w:type="dxa" w:w="1126"/>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Task Type</w:t>
            </w:r>
          </w:p>
        </w:tc>
        <w:tc>
          <w:tcPr>
            <w:tcW w:type="dxa" w:w="600"/>
            <w:tcBorders>
              <w:top w:val="single" w:color="DDDDDD" w:sz="1"/>
              <w:left w:val="single" w:color="DDDDDD" w:sz="1"/>
              <w:bottom w:val="single" w:color="DDDDDD" w:sz="1"/>
              <w:right w:val="single" w:color="DDDDDD" w:sz="1"/>
            </w:tcBorders>
            <w:shd w:fill="0D1F3C" w:val="clear"/>
            <w:tcMar>
              <w:top w:type="dxa" w:w="60"/>
              <w:left w:type="dxa" w:w="80"/>
              <w:bottom w:type="dxa" w:w="60"/>
              <w:right w:type="dxa" w:w="60"/>
            </w:tcMar>
          </w:tcPr>
          <w:p>
            <w:r>
              <w:rPr>
                <w:rFonts w:ascii="Arial" w:cs="Arial" w:eastAsia="Arial" w:hAnsi="Arial"/>
                <w:b/>
                <w:bCs/>
                <w:color w:val="FFFFFF"/>
                <w:sz w:val="15"/>
                <w:szCs w:val="15"/>
              </w:rPr>
              <w:t xml:space="preserve">Rethink</w:t>
            </w:r>
          </w:p>
        </w:tc>
      </w:tr>
      <w:tr>
        <w:tc>
          <w:tcPr>
            <w:tcW w:type="dxa" w:w="9026"/>
            <w:tcBorders>
              <w:top w:val="single" w:color="DDDDDD" w:sz="1"/>
              <w:left w:val="single" w:color="DDDDDD" w:sz="1"/>
              <w:bottom w:val="single" w:color="DDDDDD" w:sz="1"/>
              <w:right w:val="single" w:color="DDDDDD" w:sz="1"/>
            </w:tcBorders>
            <w:shd w:fill="0D1F3C" w:val="clear"/>
            <w:tcMar>
              <w:top w:type="dxa" w:w="55"/>
              <w:left w:type="dxa" w:w="120"/>
              <w:bottom w:type="dxa" w:w="55"/>
              <w:right w:type="dxa" w:w="80"/>
            </w:tcMar>
          </w:tcPr>
          <w:p>
            <w:r>
              <w:rPr>
                <w:rFonts w:ascii="Arial" w:cs="Arial" w:eastAsia="Arial" w:hAnsi="Arial"/>
                <w:b/>
                <w:bCs/>
                <w:caps/>
                <w:color w:val="FFFFFF"/>
                <w:sz w:val="16"/>
                <w:szCs w:val="16"/>
              </w:rPr>
              <w:t xml:space="preserve">Year 1 — Learning to See · TP-1 Abstraction · TP-2 Decomposition · Bloom avg 2.1</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T4INF1004</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Programming Foundations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PSC</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Decomp</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Abstraction</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Build a thing</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T4INF1004</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OOP &amp; Abstraction</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PSC</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Abstraction</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Decomp</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Model a thing</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T4INF1001</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Linear Algebra for Computing</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Abstraction</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Transfer</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Represent &amp; transform</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T4INF1002</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Discrete Logic &amp; Formal Reasoning</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Abstraction</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Prove a claim</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T4INF1006</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Digital Logic &amp; Computer Engineering</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SPS</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Decomp</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Abstraction</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Build a circuit model</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T4INF1602</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Foundation of Intelligent Systems (Algo)</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Abstraction</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Solve a search problem</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T4INF1602</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Foundation of Intelligent Systems (Ethics)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Eth.Reflex</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Abstraction</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Critique an AI claim</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T4INF1601</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Scientific Programming &amp; Experimentation</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Evidence</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Decomp</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Run &amp; interpret</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T4INF1005</w:t>
            </w:r>
          </w:p>
        </w:tc>
        <w:tc>
          <w:tcPr>
            <w:tcW w:type="dxa" w:w="2200"/>
            <w:tcBorders>
              <w:top w:val="single" w:color="DDDDDD" w:sz="1"/>
              <w:left w:val="single" w:color="DDDDDD" w:sz="1"/>
              <w:bottom w:val="single" w:color="DDDDDD" w:sz="1"/>
              <w:right w:val="single" w:color="DDDDDD" w:sz="1"/>
            </w:tcBorders>
            <w:shd w:fill="EAF5EE" w:val="clear"/>
            <w:tcMar>
              <w:top w:type="dxa" w:w="50"/>
              <w:left w:type="dxa" w:w="100"/>
              <w:bottom w:type="dxa" w:w="50"/>
              <w:right w:type="dxa" w:w="60"/>
            </w:tcMar>
          </w:tcPr>
          <w:p>
            <w:r>
              <w:rPr>
                <w:rFonts w:ascii="Georgia" w:cs="Georgia" w:eastAsia="Georgia" w:hAnsi="Georgia"/>
                <w:b/>
                <w:bCs/>
                <w:color w:val="1F3864"/>
                <w:sz w:val="18"/>
                <w:szCs w:val="18"/>
              </w:rPr>
              <w:t xml:space="preserve">Thinking Practice Thread*</w:t>
            </w:r>
          </w:p>
        </w:tc>
        <w:tc>
          <w:tcPr>
            <w:tcW w:type="dxa" w:w="38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EAF5EE" w:val="clear"/>
            <w:tcMar>
              <w:top w:type="dxa" w:w="50"/>
              <w:left w:type="dxa" w:w="80"/>
              <w:bottom w:type="dxa" w:w="50"/>
              <w:right w:type="dxa" w:w="60"/>
            </w:tcMar>
          </w:tcPr>
          <w:p>
            <w:r>
              <w:rPr>
                <w:rFonts w:ascii="Arial" w:cs="Arial" w:eastAsia="Arial" w:hAnsi="Arial"/>
                <w:i/>
                <w:iCs/>
                <w:color w:val="4A5568"/>
                <w:sz w:val="15"/>
                <w:szCs w:val="15"/>
              </w:rPr>
              <w:t xml:space="preserve">RPS</w:t>
            </w:r>
          </w:p>
        </w:tc>
        <w:tc>
          <w:tcPr>
            <w:tcW w:type="dxa" w:w="32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0D1F3C"/>
                <w:sz w:val="17"/>
                <w:szCs w:val="17"/>
              </w:rPr>
              <w:t xml:space="preserve">1</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Meta-Learn</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color w:val="4A5568"/>
                <w:sz w:val="15"/>
                <w:szCs w:val="15"/>
              </w:rPr>
              <w:t xml:space="preserve">All</w:t>
            </w:r>
          </w:p>
        </w:tc>
        <w:tc>
          <w:tcPr>
            <w:tcW w:type="dxa" w:w="4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w:t>
            </w:r>
          </w:p>
        </w:tc>
        <w:tc>
          <w:tcPr>
            <w:tcW w:type="dxa" w:w="1126"/>
            <w:tcBorders>
              <w:top w:val="single" w:color="DDDDDD" w:sz="1"/>
              <w:left w:val="single" w:color="DDDDDD" w:sz="1"/>
              <w:bottom w:val="single" w:color="DDDDDD" w:sz="1"/>
              <w:right w:val="single" w:color="DDDDDD" w:sz="1"/>
            </w:tcBorders>
            <w:shd w:fill="EAF5EE" w:val="clear"/>
            <w:tcMar>
              <w:top w:type="dxa" w:w="50"/>
              <w:left w:type="dxa" w:w="80"/>
              <w:bottom w:type="dxa" w:w="50"/>
              <w:right w:type="dxa" w:w="60"/>
            </w:tcMar>
          </w:tcPr>
          <w:p>
            <w:r>
              <w:rPr>
                <w:rFonts w:ascii="Arial" w:cs="Arial" w:eastAsia="Arial" w:hAnsi="Arial"/>
                <w:i/>
                <w:iCs/>
                <w:color w:val="1A1A1A"/>
                <w:sz w:val="15"/>
                <w:szCs w:val="15"/>
              </w:rPr>
              <w:t xml:space="preserve">Portfolio + reflection</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9026"/>
            <w:tcBorders>
              <w:top w:val="single" w:color="DDDDDD" w:sz="1"/>
              <w:left w:val="single" w:color="DDDDDD" w:sz="1"/>
              <w:bottom w:val="single" w:color="DDDDDD" w:sz="1"/>
              <w:right w:val="single" w:color="DDDDDD" w:sz="1"/>
            </w:tcBorders>
            <w:shd w:fill="1F3864" w:val="clear"/>
            <w:tcMar>
              <w:top w:type="dxa" w:w="55"/>
              <w:left w:type="dxa" w:w="120"/>
              <w:bottom w:type="dxa" w:w="55"/>
              <w:right w:type="dxa" w:w="80"/>
            </w:tcMar>
          </w:tcPr>
          <w:p>
            <w:r>
              <w:rPr>
                <w:rFonts w:ascii="Arial" w:cs="Arial" w:eastAsia="Arial" w:hAnsi="Arial"/>
                <w:b/>
                <w:bCs/>
                <w:caps/>
                <w:color w:val="FFFFFF"/>
                <w:sz w:val="16"/>
                <w:szCs w:val="16"/>
              </w:rPr>
              <w:t xml:space="preserve">Year 2 — Learning to Choose · TP-3 Transfer · TP-4 Trade-off · TP-5 Evidence · Bloom avg 2.5</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T4INF1007</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Calculus &amp; Continuous Models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Evidence</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Transfer</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Model a real dataset</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T4INF2001</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Applied Mathematics + Statistics</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Evidence</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Answer a data question</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T4INF2002</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Formal Languages &amp; Automata I</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Abstraction</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Recognise the pattern</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T4INF2002</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Formal Languages &amp; Automata II</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Apply across domains</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T4INF1003</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Algorithms &amp; Complexity</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MAF</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Trade-off</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Choose &amp; justify</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T4INF1101</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Web &amp; Application Engineering</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PSC</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Decomp</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Build &amp; evaluate</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T4INF2003</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Software Engineering Fundamentals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PSC</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Decomp</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Design a process</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T4INF2004</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Data Science &amp; Data Pipelines</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Decomp</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Clean &amp; move data</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T4INF2601</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Machine Learning</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Evidence</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Train, evaluate, critique</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T4INF2005</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Computer Architectures + OS + Systems</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SPS</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Abstraction</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Transfer</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Simulate a system</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T4INF2006</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IT Security &amp; Secure Systems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SPS</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Trade-off</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Threat model &amp; mitigate</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T4INF4324</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Consulting, Law &amp; Professional Resp.</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RPS</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2</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Eth.Reflex</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L2-3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Advise under constraint</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9026"/>
            <w:tcBorders>
              <w:top w:val="single" w:color="DDDDDD" w:sz="1"/>
              <w:left w:val="single" w:color="DDDDDD" w:sz="1"/>
              <w:bottom w:val="single" w:color="DDDDDD" w:sz="1"/>
              <w:right w:val="single" w:color="DDDDDD" w:sz="1"/>
            </w:tcBorders>
            <w:shd w:fill="1A5C4A" w:val="clear"/>
            <w:tcMar>
              <w:top w:type="dxa" w:w="55"/>
              <w:left w:type="dxa" w:w="120"/>
              <w:bottom w:type="dxa" w:w="55"/>
              <w:right w:type="dxa" w:w="80"/>
            </w:tcMar>
          </w:tcPr>
          <w:p>
            <w:r>
              <w:rPr>
                <w:rFonts w:ascii="Arial" w:cs="Arial" w:eastAsia="Arial" w:hAnsi="Arial"/>
                <w:b/>
                <w:bCs/>
                <w:caps/>
                <w:color w:val="FFFFFF"/>
                <w:sz w:val="16"/>
                <w:szCs w:val="16"/>
              </w:rPr>
              <w:t xml:space="preserve">Year 3 — Learning to Be Responsible · TP-6 Ethical Reflexivity · TP-7 Meta-Learning · Bloom avg 3.0+</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T4INF4348</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Human-Computer Interaction*</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HSC</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Eth.Reflex</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Critique a real system</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T4INF9006</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Design Thinking I*</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HSC</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Eth.Reflex</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Redesign for a user</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T4INF3102</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Advanced Software Architecture</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PSC</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Trade-off</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Transfer</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L3-4</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Architect &amp; justify</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T4INF3103</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Advanced Data Science &amp; Pipelines</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Evidence</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Pipeline at scale</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T4INF3103</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Advanced Data Science Lab</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Apply in new domain</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T4INF2601</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Machine Learning (Advanced)</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Trade-off</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Eth.Reflex</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L3-4</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Evaluate &amp; critique</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T4INF3915</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Applied AI Systems Seminar</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Eth.Reflex</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L4</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Assess an AI system</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T4INF4902</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Natural Language Processing</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DAI</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Apply across languages</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T4INF4900</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Games &amp; Interactive Systems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PSC</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Trade-off</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Eth.Reflex</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L4</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Prototype &amp; critique</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4A5568"/>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T4INF4900</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Gamification &amp; Behaviour Design</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HSC</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Eth.Reflex</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Design responsibly</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T4INF4348</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Digitalisation</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HSC</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Meta-Learn</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Connect domains</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T4INF3906</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Applied CS Research*</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RPS</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Meta-Learn</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Evidence</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L3-4</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Analyse own development</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T4INF4902</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Cloud &amp; Distributed Systems</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SPS</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Decomp</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Trade-off</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L3</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Architect for failure</w:t>
            </w:r>
          </w:p>
        </w:tc>
        <w:tc>
          <w:tcPr>
            <w:tcW w:type="dxa" w:w="600"/>
            <w:tcBorders>
              <w:top w:val="single" w:color="DDDDDD" w:sz="1"/>
              <w:left w:val="single" w:color="DDDDDD" w:sz="1"/>
              <w:bottom w:val="single" w:color="DDDDDD" w:sz="1"/>
              <w:right w:val="single" w:color="DDDDDD" w:sz="1"/>
            </w:tcBorders>
            <w:shd w:fill="FDF6EC" w:val="clear"/>
            <w:tcMar>
              <w:top w:type="dxa" w:w="50"/>
              <w:left w:type="dxa" w:w="60"/>
              <w:bottom w:type="dxa" w:w="50"/>
              <w:right w:type="dxa" w:w="60"/>
            </w:tcMar>
          </w:tcPr>
          <w:p>
            <w:pPr>
              <w:jc w:val="center"/>
            </w:pPr>
            <w:r>
              <w:rPr>
                <w:rFonts w:ascii="Arial" w:cs="Arial" w:eastAsia="Arial" w:hAnsi="Arial"/>
                <w:b/>
                <w:bCs/>
                <w:color w:val="7A4A00"/>
                <w:sz w:val="18"/>
                <w:szCs w:val="18"/>
              </w:rPr>
              <w:t xml:space="preserve">◑</w:t>
            </w:r>
          </w:p>
        </w:tc>
      </w:tr>
      <w:tr>
        <w:tc>
          <w:tcPr>
            <w:tcW w:type="dxa" w:w="9026"/>
            <w:tcBorders>
              <w:top w:val="single" w:color="DDDDDD" w:sz="1"/>
              <w:left w:val="single" w:color="DDDDDD" w:sz="1"/>
              <w:bottom w:val="single" w:color="DDDDDD" w:sz="1"/>
              <w:right w:val="single" w:color="DDDDDD" w:sz="1"/>
            </w:tcBorders>
            <w:shd w:fill="4A1A6B" w:val="clear"/>
            <w:tcMar>
              <w:top w:type="dxa" w:w="55"/>
              <w:left w:type="dxa" w:w="120"/>
              <w:bottom w:type="dxa" w:w="55"/>
              <w:right w:type="dxa" w:w="80"/>
            </w:tcMar>
          </w:tcPr>
          <w:p>
            <w:r>
              <w:rPr>
                <w:rFonts w:ascii="Arial" w:cs="Arial" w:eastAsia="Arial" w:hAnsi="Arial"/>
                <w:b/>
                <w:bCs/>
                <w:caps/>
                <w:color w:val="FFFFFF"/>
                <w:sz w:val="16"/>
                <w:szCs w:val="16"/>
              </w:rPr>
              <w:t xml:space="preserve">Grand Finale · Transfer + Ethical Reflexivity + Meta-Learning synthesis</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T4_3101</w:t>
            </w:r>
          </w:p>
        </w:tc>
        <w:tc>
          <w:tcPr>
            <w:tcW w:type="dxa" w:w="2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60"/>
            </w:tcMar>
          </w:tcPr>
          <w:p>
            <w:r>
              <w:rPr>
                <w:rFonts w:ascii="Georgia" w:cs="Georgia" w:eastAsia="Georgia" w:hAnsi="Georgia"/>
                <w:b/>
                <w:bCs/>
                <w:color w:val="1F3864"/>
                <w:sz w:val="18"/>
                <w:szCs w:val="18"/>
              </w:rPr>
              <w:t xml:space="preserve">Capstone*</w:t>
            </w:r>
          </w:p>
        </w:tc>
        <w:tc>
          <w:tcPr>
            <w:tcW w:type="dxa" w:w="38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7"/>
                <w:szCs w:val="17"/>
              </w:rPr>
              <w:t xml:space="preserve">10</w:t>
            </w:r>
          </w:p>
        </w:tc>
        <w:tc>
          <w:tcPr>
            <w:tcW w:type="dxa" w:w="10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4A5568"/>
                <w:sz w:val="15"/>
                <w:szCs w:val="15"/>
              </w:rPr>
              <w:t xml:space="preserve">—</w:t>
            </w:r>
          </w:p>
        </w:tc>
        <w:tc>
          <w:tcPr>
            <w:tcW w:type="dxa" w:w="32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Transfer</w:t>
            </w:r>
          </w:p>
        </w:tc>
        <w:tc>
          <w:tcPr>
            <w:tcW w:type="dxa" w:w="6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color w:val="4A5568"/>
                <w:sz w:val="15"/>
                <w:szCs w:val="15"/>
              </w:rPr>
              <w:t xml:space="preserve">Eth.Reflex</w:t>
            </w:r>
          </w:p>
        </w:tc>
        <w:tc>
          <w:tcPr>
            <w:tcW w:type="dxa" w:w="400"/>
            <w:tcBorders>
              <w:top w:val="single" w:color="DDDDDD" w:sz="1"/>
              <w:left w:val="single" w:color="DDDDDD" w:sz="1"/>
              <w:bottom w:val="single" w:color="DDDDDD" w:sz="1"/>
              <w:right w:val="single" w:color="DDDDDD" w:sz="1"/>
            </w:tcBorders>
            <w:shd w:fill="FFFFFF"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L4</w:t>
            </w:r>
          </w:p>
        </w:tc>
        <w:tc>
          <w:tcPr>
            <w:tcW w:type="dxa" w:w="1126"/>
            <w:tcBorders>
              <w:top w:val="single" w:color="DDDDDD" w:sz="1"/>
              <w:left w:val="single" w:color="DDDDDD" w:sz="1"/>
              <w:bottom w:val="single" w:color="DDDDDD" w:sz="1"/>
              <w:right w:val="single" w:color="DDDDDD" w:sz="1"/>
            </w:tcBorders>
            <w:shd w:fill="FFFFFF" w:val="clear"/>
            <w:tcMar>
              <w:top w:type="dxa" w:w="50"/>
              <w:left w:type="dxa" w:w="80"/>
              <w:bottom w:type="dxa" w:w="50"/>
              <w:right w:type="dxa" w:w="60"/>
            </w:tcMar>
          </w:tcPr>
          <w:p>
            <w:r>
              <w:rPr>
                <w:rFonts w:ascii="Arial" w:cs="Arial" w:eastAsia="Arial" w:hAnsi="Arial"/>
                <w:i/>
                <w:iCs/>
                <w:color w:val="1A1A1A"/>
                <w:sz w:val="15"/>
                <w:szCs w:val="15"/>
              </w:rPr>
              <w:t xml:space="preserve">Cross-domain demonstration</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r>
        <w:tc>
          <w:tcPr>
            <w:tcW w:type="dxa" w:w="700"/>
            <w:tcBorders>
              <w:top w:val="single" w:color="DDDDDD" w:sz="1"/>
              <w:left w:val="single" w:color="DDDDDD" w:sz="1"/>
              <w:bottom w:val="single" w:color="DDDDDD" w:sz="1"/>
              <w:right w:val="single" w:color="DDDDDD" w:sz="1"/>
            </w:tcBorders>
            <w:shd w:fill="0D1F3C" w:val="clear"/>
            <w:tcMar>
              <w:top w:type="dxa" w:w="50"/>
              <w:left w:type="dxa" w:w="80"/>
              <w:bottom w:type="dxa" w:w="50"/>
              <w:right w:type="dxa" w:w="60"/>
            </w:tcMar>
          </w:tcPr>
          <w:p>
            <w:pPr>
              <w:jc w:val="center"/>
            </w:pPr>
            <w:r>
              <w:rPr>
                <w:rFonts w:ascii="Arial" w:cs="Arial" w:eastAsia="Arial" w:hAnsi="Arial"/>
                <w:b/>
                <w:bCs/>
                <w:color w:val="FFFFFF"/>
                <w:sz w:val="14"/>
                <w:szCs w:val="14"/>
              </w:rPr>
              <w:t xml:space="preserve">T4_3300</w:t>
            </w:r>
          </w:p>
        </w:tc>
        <w:tc>
          <w:tcPr>
            <w:tcW w:type="dxa" w:w="2200"/>
            <w:tcBorders>
              <w:top w:val="single" w:color="DDDDDD" w:sz="1"/>
              <w:left w:val="single" w:color="DDDDDD" w:sz="1"/>
              <w:bottom w:val="single" w:color="DDDDDD" w:sz="1"/>
              <w:right w:val="single" w:color="DDDDDD" w:sz="1"/>
            </w:tcBorders>
            <w:shd w:fill="F4F7FA" w:val="clear"/>
            <w:tcMar>
              <w:top w:type="dxa" w:w="50"/>
              <w:left w:type="dxa" w:w="100"/>
              <w:bottom w:type="dxa" w:w="50"/>
              <w:right w:type="dxa" w:w="60"/>
            </w:tcMar>
          </w:tcPr>
          <w:p>
            <w:r>
              <w:rPr>
                <w:rFonts w:ascii="Georgia" w:cs="Georgia" w:eastAsia="Georgia" w:hAnsi="Georgia"/>
                <w:b/>
                <w:bCs/>
                <w:color w:val="1F3864"/>
                <w:sz w:val="18"/>
                <w:szCs w:val="18"/>
              </w:rPr>
              <w:t xml:space="preserve">Bachelor Thesis</w:t>
            </w:r>
          </w:p>
        </w:tc>
        <w:tc>
          <w:tcPr>
            <w:tcW w:type="dxa" w:w="38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7"/>
                <w:szCs w:val="17"/>
              </w:rPr>
              <w:t xml:space="preserve">10</w:t>
            </w:r>
          </w:p>
        </w:tc>
        <w:tc>
          <w:tcPr>
            <w:tcW w:type="dxa" w:w="1000"/>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4A5568"/>
                <w:sz w:val="15"/>
                <w:szCs w:val="15"/>
              </w:rPr>
              <w:t xml:space="preserve">—</w:t>
            </w:r>
          </w:p>
        </w:tc>
        <w:tc>
          <w:tcPr>
            <w:tcW w:type="dxa" w:w="32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0D1F3C"/>
                <w:sz w:val="17"/>
                <w:szCs w:val="17"/>
              </w:rPr>
              <w:t xml:space="preserve">3</w:t>
            </w:r>
          </w:p>
        </w:tc>
        <w:tc>
          <w:tcPr>
            <w:tcW w:type="dxa" w:w="700"/>
            <w:tcBorders>
              <w:top w:val="single" w:color="DDDDDD" w:sz="1"/>
              <w:left w:val="single" w:color="DDDDDD" w:sz="1"/>
              <w:bottom w:val="single" w:color="DDDDDD" w:sz="1"/>
              <w:right w:val="single" w:color="DDDDDD" w:sz="1"/>
            </w:tcBorders>
            <w:shd w:fill="EEF4FB" w:val="clear"/>
            <w:tcMar>
              <w:top w:type="dxa" w:w="50"/>
              <w:left w:type="dxa" w:w="80"/>
              <w:bottom w:type="dxa" w:w="50"/>
              <w:right w:type="dxa" w:w="60"/>
            </w:tcMar>
          </w:tcPr>
          <w:p>
            <w:pPr>
              <w:jc w:val="center"/>
            </w:pPr>
            <w:r>
              <w:rPr>
                <w:rFonts w:ascii="Arial" w:cs="Arial" w:eastAsia="Arial" w:hAnsi="Arial"/>
                <w:b/>
                <w:bCs/>
                <w:color w:val="2E75B6"/>
                <w:sz w:val="16"/>
                <w:szCs w:val="16"/>
              </w:rPr>
              <w:t xml:space="preserve">Meta-Learn</w:t>
            </w:r>
          </w:p>
        </w:tc>
        <w:tc>
          <w:tcPr>
            <w:tcW w:type="dxa" w:w="6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color w:val="4A5568"/>
                <w:sz w:val="15"/>
                <w:szCs w:val="15"/>
              </w:rPr>
              <w:t xml:space="preserve">All</w:t>
            </w:r>
          </w:p>
        </w:tc>
        <w:tc>
          <w:tcPr>
            <w:tcW w:type="dxa" w:w="400"/>
            <w:tcBorders>
              <w:top w:val="single" w:color="DDDDDD" w:sz="1"/>
              <w:left w:val="single" w:color="DDDDDD" w:sz="1"/>
              <w:bottom w:val="single" w:color="DDDDDD" w:sz="1"/>
              <w:right w:val="single" w:color="DDDDDD" w:sz="1"/>
            </w:tcBorders>
            <w:shd w:fill="F4F7FA" w:val="clear"/>
            <w:tcMar>
              <w:top w:type="dxa" w:w="50"/>
              <w:left w:type="dxa" w:w="60"/>
              <w:bottom w:type="dxa" w:w="50"/>
              <w:right w:type="dxa" w:w="60"/>
            </w:tcMar>
          </w:tcPr>
          <w:p>
            <w:pPr>
              <w:jc w:val="center"/>
            </w:pPr>
            <w:r>
              <w:rPr>
                <w:rFonts w:ascii="Arial" w:cs="Arial" w:eastAsia="Arial" w:hAnsi="Arial"/>
                <w:b/>
                <w:bCs/>
                <w:color w:val="1A5C4A"/>
                <w:sz w:val="16"/>
                <w:szCs w:val="16"/>
              </w:rPr>
              <w:t xml:space="preserve">L4</w:t>
            </w:r>
          </w:p>
        </w:tc>
        <w:tc>
          <w:tcPr>
            <w:tcW w:type="dxa" w:w="1126"/>
            <w:tcBorders>
              <w:top w:val="single" w:color="DDDDDD" w:sz="1"/>
              <w:left w:val="single" w:color="DDDDDD" w:sz="1"/>
              <w:bottom w:val="single" w:color="DDDDDD" w:sz="1"/>
              <w:right w:val="single" w:color="DDDDDD" w:sz="1"/>
            </w:tcBorders>
            <w:shd w:fill="F4F7FA" w:val="clear"/>
            <w:tcMar>
              <w:top w:type="dxa" w:w="50"/>
              <w:left w:type="dxa" w:w="80"/>
              <w:bottom w:type="dxa" w:w="50"/>
              <w:right w:type="dxa" w:w="60"/>
            </w:tcMar>
          </w:tcPr>
          <w:p>
            <w:r>
              <w:rPr>
                <w:rFonts w:ascii="Arial" w:cs="Arial" w:eastAsia="Arial" w:hAnsi="Arial"/>
                <w:i/>
                <w:iCs/>
                <w:color w:val="1A1A1A"/>
                <w:sz w:val="15"/>
                <w:szCs w:val="15"/>
              </w:rPr>
              <w:t xml:space="preserve">Intellectual development account</w:t>
            </w:r>
          </w:p>
        </w:tc>
        <w:tc>
          <w:tcPr>
            <w:tcW w:type="dxa" w:w="600"/>
            <w:tcBorders>
              <w:top w:val="single" w:color="DDDDDD" w:sz="1"/>
              <w:left w:val="single" w:color="DDDDDD" w:sz="1"/>
              <w:bottom w:val="single" w:color="DDDDDD" w:sz="1"/>
              <w:right w:val="single" w:color="DDDDDD" w:sz="1"/>
            </w:tcBorders>
            <w:shd w:fill="EAF5EE" w:val="clear"/>
            <w:tcMar>
              <w:top w:type="dxa" w:w="50"/>
              <w:left w:type="dxa" w:w="60"/>
              <w:bottom w:type="dxa" w:w="50"/>
              <w:right w:type="dxa" w:w="60"/>
            </w:tcMar>
          </w:tcPr>
          <w:p>
            <w:pPr>
              <w:jc w:val="center"/>
            </w:pPr>
            <w:r>
              <w:rPr>
                <w:rFonts w:ascii="Arial" w:cs="Arial" w:eastAsia="Arial" w:hAnsi="Arial"/>
                <w:b/>
                <w:bCs/>
                <w:color w:val="1A5C4A"/>
                <w:sz w:val="18"/>
                <w:szCs w:val="18"/>
              </w:rPr>
              <w:t xml:space="preserve">●</w:t>
            </w:r>
          </w:p>
        </w:tc>
      </w:tr>
    </w:tbl>
    <w:p>
      <w:pPr>
        <w:spacing w:after="60" w:before="0"/>
      </w:pPr>
    </w:p>
    <w:p>
      <w:pPr>
        <w:spacing w:after="190" w:before="0"/>
        <w:jc w:val="both"/>
      </w:pPr>
      <w:r>
        <w:rPr>
          <w:rFonts w:ascii="Georgia" w:cs="Georgia" w:eastAsia="Georgia" w:hAnsi="Georgia"/>
          <w:b w:val="false"/>
          <w:bCs w:val="false"/>
          <w:i/>
          <w:iCs/>
          <w:color w:val="4A5568"/>
          <w:sz w:val="20"/>
          <w:szCs w:val="20"/>
        </w:rPr>
        <w:t xml:space="preserve">* Modules marked with asterisk have been structurally redesigned in this framework. All others receive a task layer added to existing learning outcomes without modification of those outcomes.</w:t>
      </w:r>
    </w:p>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Task completion, portfolio, and credential issuance</w:t>
            </w:r>
          </w:p>
          <w:p>
            <w:pPr>
              <w:spacing w:after="0" w:before="0"/>
            </w:pPr>
            <w:r>
              <w:rPr>
                <w:rFonts w:ascii="Georgia" w:cs="Georgia" w:eastAsia="Georgia" w:hAnsi="Georgia"/>
                <w:b/>
                <w:bCs/>
                <w:color w:val="FFFFFF"/>
                <w:sz w:val="25"/>
                <w:szCs w:val="25"/>
              </w:rPr>
              <w:t xml:space="preserve">VI.  Assessment Architecture</w:t>
            </w:r>
          </w:p>
        </w:tc>
      </w:tr>
    </w:tbl>
    <w:p>
      <w:pPr>
        <w:spacing w:after="80" w:before="0"/>
      </w:pPr>
    </w:p>
    <w:p>
      <w:pPr>
        <w:pStyle w:val="Heading2"/>
        <w:spacing w:after="110" w:before="340"/>
      </w:pPr>
      <w:r>
        <w:rPr>
          <w:rFonts w:ascii="Georgia" w:cs="Georgia" w:eastAsia="Georgia" w:hAnsi="Georgia"/>
          <w:b/>
          <w:bCs/>
          <w:color w:val="2E75B6"/>
          <w:sz w:val="25"/>
          <w:szCs w:val="25"/>
        </w:rPr>
        <w:t xml:space="preserve">From Content Examinations to Demonstrated Capability</w:t>
      </w:r>
    </w:p>
    <w:p>
      <w:pPr>
        <w:spacing w:after="190" w:before="0"/>
        <w:jc w:val="both"/>
      </w:pPr>
      <w:r>
        <w:rPr>
          <w:rFonts w:ascii="Georgia" w:cs="Georgia" w:eastAsia="Georgia" w:hAnsi="Georgia"/>
          <w:b w:val="false"/>
          <w:bCs w:val="false"/>
          <w:i w:val="false"/>
          <w:iCs w:val="false"/>
          <w:color w:val="1A1A1A"/>
          <w:sz w:val="23"/>
          <w:szCs w:val="23"/>
        </w:rPr>
        <w:t xml:space="preserve">The OUG's assessment architecture replaces content examinations as the primary evidence of learning with task completion demonstrations mapped directly to codebook competency entries. This is not an abolition of rigour — it is a redefinition of what rigour means. A content examination demonstrates that a learner can recall or recognise information under time pressure. A task completion demonstration demonstrates that a learner can use a concept to produce something real. The latter is the evidence that matters for professional practice, for accreditation, and for the Europass credential that certifies each module.</w:t>
      </w:r>
    </w:p>
    <w:p>
      <w:pPr>
        <w:pStyle w:val="Heading2"/>
        <w:spacing w:after="110" w:before="340"/>
      </w:pPr>
      <w:r>
        <w:rPr>
          <w:rFonts w:ascii="Georgia" w:cs="Georgia" w:eastAsia="Georgia" w:hAnsi="Georgia"/>
          <w:b/>
          <w:bCs/>
          <w:color w:val="2E75B6"/>
          <w:sz w:val="25"/>
          <w:szCs w:val="25"/>
        </w:rPr>
        <w:t xml:space="preserve">The Assessment Sequence</w:t>
      </w:r>
    </w:p>
    <w:p>
      <w:pPr>
        <w:spacing w:after="190" w:before="0"/>
        <w:jc w:val="both"/>
      </w:pPr>
      <w:r>
        <w:rPr>
          <w:rFonts w:ascii="Georgia" w:cs="Georgia" w:eastAsia="Georgia" w:hAnsi="Georgia"/>
          <w:b w:val="false"/>
          <w:bCs w:val="false"/>
          <w:i w:val="false"/>
          <w:iCs w:val="false"/>
          <w:color w:val="1A1A1A"/>
          <w:sz w:val="23"/>
          <w:szCs w:val="23"/>
        </w:rPr>
        <w:t xml:space="preserve">Each module produces three assessment artefacts. The Transfer Task — completed individually — is the primary evidence of competency development at the conceptual level. It is mapped to specific codebook entries and assessed against a published rubric. The Thinking Reflection — completed individually — is the primary evidence of Meta-Learning development. It is added to the Thinking Portfolio. The Module Demonstration — for Year 3 modules, a presentation or defence — is the evidence that the learner can communicate their reasoning to an audience beyond the immediate teaching context.</w:t>
      </w:r>
    </w:p>
    <w:p>
      <w:pPr>
        <w:spacing w:after="190" w:before="0"/>
        <w:jc w:val="both"/>
      </w:pPr>
      <w:r>
        <w:rPr>
          <w:rFonts w:ascii="Georgia" w:cs="Georgia" w:eastAsia="Georgia" w:hAnsi="Georgia"/>
          <w:b w:val="false"/>
          <w:bCs w:val="false"/>
          <w:i w:val="false"/>
          <w:iCs w:val="false"/>
          <w:color w:val="1A1A1A"/>
          <w:sz w:val="23"/>
          <w:szCs w:val="23"/>
        </w:rPr>
        <w:t xml:space="preserve">The Stichprobe (independent quality sampling, QA Framework §4.2) samples Transfer Tasks from five percent of completions across all modules each year. The sampling is conducted by the Quality Commission and provides verification that the rubric is being applied consistently and that the competency level certified corresponds to the demonstration produced. This mechanism ensures that the modular credential carries institutional integrity beyond any single module's assessment context.</w:t>
      </w:r>
    </w:p>
    <w:p>
      <w:pPr>
        <w:pStyle w:val="Heading2"/>
        <w:spacing w:after="110" w:before="340"/>
      </w:pPr>
      <w:r>
        <w:rPr>
          <w:rFonts w:ascii="Georgia" w:cs="Georgia" w:eastAsia="Georgia" w:hAnsi="Georgia"/>
          <w:b/>
          <w:bCs/>
          <w:color w:val="2E75B6"/>
          <w:sz w:val="25"/>
          <w:szCs w:val="25"/>
        </w:rPr>
        <w:t xml:space="preserve">The Thinking Portfolio</w:t>
      </w:r>
    </w:p>
    <w:p>
      <w:pPr>
        <w:spacing w:after="190" w:before="0"/>
        <w:jc w:val="both"/>
      </w:pPr>
      <w:r>
        <w:rPr>
          <w:rFonts w:ascii="Georgia" w:cs="Georgia" w:eastAsia="Georgia" w:hAnsi="Georgia"/>
          <w:b w:val="false"/>
          <w:bCs w:val="false"/>
          <w:i w:val="false"/>
          <w:iCs w:val="false"/>
          <w:color w:val="1A1A1A"/>
          <w:sz w:val="23"/>
          <w:szCs w:val="23"/>
        </w:rPr>
        <w:t xml:space="preserve">The Thinking Portfolio is the continuous assessment instrument that runs across all three years. It is not a collection of essays — it is a structured record of thinking development. Each Reflection entry documents: the task completed, the Thinking Principle activated, where the learner was uncertain, how uncertainty was resolved, and what this experience reveals about how the learner learns. By Year 3, the portfolio contains evidence of development across all seven Thinking Principles. The Applied CS Research module (T4INF3906) structures the learner's analysis of their own portfolio and produces the intellectual framing of the Bachelor Thesis.</w:t>
      </w:r>
    </w:p>
    <w:p>
      <w:pPr>
        <w:pStyle w:val="Heading2"/>
        <w:spacing w:after="110" w:before="340"/>
      </w:pPr>
      <w:r>
        <w:rPr>
          <w:rFonts w:ascii="Georgia" w:cs="Georgia" w:eastAsia="Georgia" w:hAnsi="Georgia"/>
          <w:b/>
          <w:bCs/>
          <w:color w:val="2E75B6"/>
          <w:sz w:val="25"/>
          <w:szCs w:val="25"/>
        </w:rPr>
        <w:t xml:space="preserve">Europass Credential Issuance</w:t>
      </w:r>
    </w:p>
    <w:p>
      <w:pPr>
        <w:spacing w:after="190" w:before="0"/>
        <w:jc w:val="both"/>
      </w:pPr>
      <w:r>
        <w:rPr>
          <w:rFonts w:ascii="Georgia" w:cs="Georgia" w:eastAsia="Georgia" w:hAnsi="Georgia"/>
          <w:b w:val="false"/>
          <w:bCs w:val="false"/>
          <w:i w:val="false"/>
          <w:iCs w:val="false"/>
          <w:color w:val="1A1A1A"/>
          <w:sz w:val="23"/>
          <w:szCs w:val="23"/>
        </w:rPr>
        <w:t xml:space="preserve">Every completed module, upon verification of the Transfer Task and submission of the Thinking Reflection, triggers issuance of a Europass Digital Credential. The credential contains: the module title and code, the ECTS value, the primary and secondary Thinking Principles developed, the specific codebook competencies demonstrated, the Bloom level achieved, and the date of award. Credentials are issued to the learner's Europass wallet and are machine-readable, tamper-proof, and verifiable. A learner who completes ten modules and pauses their studies holds ten verified, portable competency records. The degree, when awarded, is the aggregation of all module credentials — making the programme's intellectual architecture fully transparent to employers, partner institutions, and other universities.</w:t>
      </w:r>
    </w:p>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20"/>
              <w:bottom w:type="dxa" w:w="100"/>
              <w:right w:type="dxa" w:w="180"/>
            </w:tcMar>
          </w:tcPr>
          <w:p>
            <w:pPr>
              <w:spacing w:after="15" w:before="0"/>
            </w:pPr>
            <w:r>
              <w:rPr>
                <w:rFonts w:ascii="Arial" w:cs="Arial" w:eastAsia="Arial" w:hAnsi="Arial"/>
                <w:color w:val="8899BB"/>
                <w:sz w:val="15"/>
                <w:szCs w:val="15"/>
              </w:rPr>
              <w:t xml:space="preserve">What this framework demonstrates across all three years</w:t>
            </w:r>
          </w:p>
          <w:p>
            <w:pPr>
              <w:spacing w:after="0" w:before="0"/>
            </w:pPr>
            <w:r>
              <w:rPr>
                <w:rFonts w:ascii="Georgia" w:cs="Georgia" w:eastAsia="Georgia" w:hAnsi="Georgia"/>
                <w:b/>
                <w:bCs/>
                <w:color w:val="FFFFFF"/>
                <w:sz w:val="25"/>
                <w:szCs w:val="25"/>
              </w:rPr>
              <w:t xml:space="preserve">VII.  Coherence Statement for Accreditation</w:t>
            </w:r>
          </w:p>
        </w:tc>
      </w:tr>
    </w:tbl>
    <w:p>
      <w:pPr>
        <w:spacing w:after="80" w:before="0"/>
      </w:pPr>
    </w:p>
    <w:p>
      <w:pPr>
        <w:spacing w:after="190" w:before="0"/>
        <w:jc w:val="both"/>
      </w:pPr>
      <w:r>
        <w:rPr>
          <w:rFonts w:ascii="Georgia" w:cs="Georgia" w:eastAsia="Georgia" w:hAnsi="Georgia"/>
          <w:b w:val="false"/>
          <w:bCs w:val="false"/>
          <w:i w:val="false"/>
          <w:iCs w:val="false"/>
          <w:color w:val="1A1A1A"/>
          <w:sz w:val="23"/>
          <w:szCs w:val="23"/>
        </w:rPr>
        <w:t xml:space="preserve">The framework presented in this document demonstrates didactic coherence across the full three-year programme on five verifiable dimensions.</w:t>
      </w:r>
    </w:p>
    <w:p>
      <w:pPr>
        <w:spacing w:after="190" w:before="0"/>
        <w:jc w:val="both"/>
      </w:pPr>
      <w:r>
        <w:rPr>
          <w:rFonts w:ascii="Georgia" w:cs="Georgia" w:eastAsia="Georgia" w:hAnsi="Georgia"/>
          <w:b w:val="false"/>
          <w:bCs w:val="false"/>
          <w:i w:val="false"/>
          <w:iCs w:val="false"/>
          <w:color w:val="1A1A1A"/>
          <w:sz w:val="23"/>
          <w:szCs w:val="23"/>
        </w:rPr>
        <w:t xml:space="preserve">First, progression. The Bloom level average rises from 2.1 in Year 1 to 2.5 in Year 2 to 3.0+ in Year 3. This progression is not a statistical artefact — it reflects a designed shift in the cognitive demands placed on learners as they develop the Thinking Principles that make higher-order thinking possible. The module architecture table in Section V shows that no Year 3 module operates primarily at Bloom levels below L3.</w:t>
      </w:r>
    </w:p>
    <w:p>
      <w:pPr>
        <w:spacing w:after="190" w:before="0"/>
        <w:jc w:val="both"/>
      </w:pPr>
      <w:r>
        <w:rPr>
          <w:rFonts w:ascii="Georgia" w:cs="Georgia" w:eastAsia="Georgia" w:hAnsi="Georgia"/>
          <w:b w:val="false"/>
          <w:bCs w:val="false"/>
          <w:i w:val="false"/>
          <w:iCs w:val="false"/>
          <w:color w:val="1A1A1A"/>
          <w:sz w:val="23"/>
          <w:szCs w:val="23"/>
        </w:rPr>
        <w:t xml:space="preserve">Second, coverage. The Competence Codebook v10.0 maintains 94.6% placement of its 149 competency entries across the programme. The eight unplaced entries (cloud infrastructure, container orchestration, advanced architecture topics) are explicitly documented and designated for future module development. The framework does not lower coverage — it organises existing coverage around the Thinking Principles without loss.</w:t>
      </w:r>
    </w:p>
    <w:p>
      <w:pPr>
        <w:spacing w:after="190" w:before="0"/>
        <w:jc w:val="both"/>
      </w:pPr>
      <w:r>
        <w:rPr>
          <w:rFonts w:ascii="Georgia" w:cs="Georgia" w:eastAsia="Georgia" w:hAnsi="Georgia"/>
          <w:b w:val="false"/>
          <w:bCs w:val="false"/>
          <w:i w:val="false"/>
          <w:iCs w:val="false"/>
          <w:color w:val="1A1A1A"/>
          <w:sz w:val="23"/>
          <w:szCs w:val="23"/>
        </w:rPr>
        <w:t xml:space="preserve">Third, consistency. Every module implements the five-phase Didactic Unit structure. The entry point for every module is a task, not a lecture. The exit point for every module is a reflection that contributes to the Thinking Portfolio. The internal logic of each module — Hook Task → Concept Input → Practice → Transfer → Reflection — is the same at Bloom L2 in Year 1 and at Bloom L4 in Year 3. What changes is the complexity of the task and the level of scaffolding provided.</w:t>
      </w:r>
    </w:p>
    <w:p>
      <w:pPr>
        <w:spacing w:after="190" w:before="0"/>
        <w:jc w:val="both"/>
      </w:pPr>
      <w:r>
        <w:rPr>
          <w:rFonts w:ascii="Georgia" w:cs="Georgia" w:eastAsia="Georgia" w:hAnsi="Georgia"/>
          <w:b w:val="false"/>
          <w:bCs w:val="false"/>
          <w:i w:val="false"/>
          <w:iCs w:val="false"/>
          <w:color w:val="1A1A1A"/>
          <w:sz w:val="23"/>
          <w:szCs w:val="23"/>
        </w:rPr>
        <w:t xml:space="preserve">Fourth, integration. The Thinking Practice Thread (Year 1), the Evidence-Based Reasoning integration (Year 2), the HCI/Design Thinking repositioning (Year 3 entry), and the Applied CS Research redesign (Year 3 exit) create explicit structural connections between what were previously isolated modules. The programme is no longer a collection of modules — it is an architecture in which each year has a coherent intellectual purpose that is visible to learners, teachers, accreditation reviewers, and employers.</w:t>
      </w:r>
    </w:p>
    <w:p>
      <w:pPr>
        <w:spacing w:after="190" w:before="0"/>
        <w:jc w:val="both"/>
      </w:pPr>
      <w:r>
        <w:rPr>
          <w:rFonts w:ascii="Georgia" w:cs="Georgia" w:eastAsia="Georgia" w:hAnsi="Georgia"/>
          <w:b w:val="false"/>
          <w:bCs w:val="false"/>
          <w:i w:val="false"/>
          <w:iCs w:val="false"/>
          <w:color w:val="1A1A1A"/>
          <w:sz w:val="23"/>
          <w:szCs w:val="23"/>
        </w:rPr>
        <w:t xml:space="preserve">Fifth, transparency. The assessment architecture — Transfer Tasks mapped to codebook competencies, Thinking Portfolio as continuous evidence, Europass credentials at module level — makes the programme's outcomes verifiable at every stage. An accreditation reviewer does not need to take the institution's word for what graduates know. They can examine Transfer Tasks, Thinking Portfolios, and the codebook competencies they evidence. The credential is not a claim — it is a documented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This is not a standard computer science degree. It is a thinking architecture that happens to use computer science as its medium. The degree certifies that its holder can think — and can show their work.</w:t>
            </w:r>
          </w:p>
        </w:tc>
      </w:tr>
    </w:tbl>
    <w:p>
      <w:pPr>
        <w:spacing w:after="200" w:before="0"/>
      </w:pPr>
    </w:p>
    <w:p>
      <w:pPr>
        <w:pBdr>
          <w:bottom w:val="single" w:color="2E75B6" w:sz="4" w:space="1"/>
        </w:pBdr>
        <w:spacing w:after="160" w:before="0"/>
      </w:pPr>
    </w:p>
    <w:p>
      <w:pPr>
        <w:spacing w:after="0" w:before="160"/>
        <w:jc w:val="right"/>
      </w:pPr>
      <w:r>
        <w:rPr>
          <w:rFonts w:ascii="Arial" w:cs="Arial" w:eastAsia="Arial" w:hAnsi="Arial"/>
          <w:i/>
          <w:iCs/>
          <w:color w:val="BBBBBB"/>
          <w:sz w:val="17"/>
          <w:szCs w:val="17"/>
        </w:rPr>
        <w:t xml:space="preserve">Open University of Germany  ·  B.Sc. Computer Science  ·  Didactic Framework  ·  2026</w:t>
      </w:r>
    </w:p>
    <w:sectPr>
      <w:pgSz w:w="11906" w:h="16838" w:orient="portrait"/>
      <w:pgMar w:top="12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52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10" w:before="34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80" w:before="24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2026-04-22T19:33:55.761Z</dcterms:created>
  <dcterms:modified xsi:type="dcterms:W3CDTF">2026-04-22T19:33:55.763Z</dcterms:modified>
</cp:coreProperties>
</file>

<file path=docProps/custom.xml><?xml version="1.0" encoding="utf-8"?>
<Properties xmlns="http://schemas.openxmlformats.org/officeDocument/2006/custom-properties" xmlns:vt="http://schemas.openxmlformats.org/officeDocument/2006/docPropsVTypes"/>
</file>