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Arial" w:cs="Arial" w:eastAsia="Arial" w:hAnsi="Arial"/>
          <w:b/>
          <w:bCs/>
          <w:caps/>
          <w:color w:val="2E75B6"/>
          <w:sz w:val="17"/>
          <w:szCs w:val="17"/>
        </w:rPr>
        <w:t xml:space="preserve">OPEN UNIVERSITY OF GERMANY  ·  ACADEMIC COMMUNITY</w:t>
      </w:r>
    </w:p>
    <w:p>
      <w:pPr>
        <w:spacing w:after="50" w:before="0"/>
      </w:pPr>
      <w:r>
        <w:rPr>
          <w:rFonts w:ascii="Arial" w:cs="Arial" w:eastAsia="Arial" w:hAnsi="Arial"/>
          <w:color w:val="AAAAAA"/>
          <w:sz w:val="17"/>
          <w:szCs w:val="17"/>
        </w:rPr>
        <w:t xml:space="preserve">Presence Architecture  ·  GP-2 Gap Closure  ·  2026</w:t>
      </w:r>
    </w:p>
    <w:p>
      <w:pPr>
        <w:pBdr>
          <w:bottom w:val="single" w:color="2E75B6" w:sz="8" w:space="1"/>
        </w:pBdr>
        <w:spacing w:after="240" w:before="0"/>
      </w:pPr>
    </w:p>
    <w:p>
      <w:pPr>
        <w:spacing w:after="40" w:before="0"/>
      </w:pPr>
      <w:r>
        <w:rPr>
          <w:rFonts w:ascii="Georgia" w:cs="Georgia" w:eastAsia="Georgia" w:hAnsi="Georgia"/>
          <w:b/>
          <w:bCs/>
          <w:color w:val="0D1F3C"/>
          <w:sz w:val="40"/>
          <w:szCs w:val="40"/>
        </w:rPr>
        <w:t xml:space="preserve">The OUG Presence Architecture</w:t>
      </w:r>
    </w:p>
    <w:p>
      <w:pPr>
        <w:spacing w:after="280" w:before="0"/>
      </w:pPr>
      <w:r>
        <w:rPr>
          <w:rFonts w:ascii="Georgia" w:cs="Georgia" w:eastAsia="Georgia" w:hAnsi="Georgia"/>
          <w:i/>
          <w:iCs/>
          <w:color w:val="1F3864"/>
          <w:sz w:val="22"/>
          <w:szCs w:val="22"/>
        </w:rPr>
        <w:t xml:space="preserve">Designing the conditions for cohort formation, intellectual community, and sustained engagement in an asynchronous-first institution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190"/>
              <w:left w:type="dxa" w:w="280"/>
              <w:bottom w:type="dxa" w:w="190"/>
              <w:right w:type="dxa" w:w="280"/>
            </w:tcMar>
          </w:tcPr>
          <w:p>
            <w:pPr>
              <w:spacing w:after="70" w:before="0"/>
            </w:pPr>
            <w:r>
              <w:rPr>
                <w:rFonts w:ascii="Arial" w:cs="Arial" w:eastAsia="Arial" w:hAnsi="Arial"/>
                <w:b/>
                <w:bCs/>
                <w:color w:val="1F3864"/>
                <w:sz w:val="17"/>
                <w:szCs w:val="17"/>
              </w:rPr>
              <w:t xml:space="preserve">Why this document exists</w:t>
            </w:r>
          </w:p>
          <w:p>
            <w:pPr>
              <w:spacing w:after="90" w:before="0"/>
              <w:jc w:val="both"/>
            </w:pPr>
            <w:r>
              <w:rPr>
                <w:rFonts w:ascii="Georgia" w:cs="Georgia" w:eastAsia="Georgia" w:hAnsi="Georgia"/>
                <w:color w:val="1A1A1A"/>
                <w:sz w:val="22"/>
                <w:szCs w:val="22"/>
              </w:rPr>
              <w:t xml:space="preserve">The campus model produced cohort formation, intellectual community, and sustained engagement as side effects of physical co-location. The OUG operates asynchronously and online. It cannot rely on co-location to produce these conditions. If it does not design for them explicitly, they will not occur — and the educational value that comes from genuine intellectual community will be absent.</w:t>
            </w:r>
          </w:p>
          <w:p>
            <w:pPr>
              <w:spacing w:after="0" w:before="0"/>
              <w:jc w:val="both"/>
            </w:pPr>
            <w:r>
              <w:rPr>
                <w:rFonts w:ascii="Georgia" w:cs="Georgia" w:eastAsia="Georgia" w:hAnsi="Georgia"/>
                <w:i/>
                <w:iCs/>
                <w:color w:val="4A5568"/>
                <w:sz w:val="22"/>
                <w:szCs w:val="22"/>
              </w:rPr>
              <w:t xml:space="preserve">This document specifies the Presence Architecture: the four designed mechanisms through which the OUG creates the conditions for cohort formation, intellectual community, and sustained engagement. These mechanisms are governance requirements — reviewed annually as part of the Academic Quality Report alongside the content architecture.</w:t>
            </w:r>
          </w:p>
        </w:tc>
      </w:tr>
    </w:tbl>
    <w:p>
      <w:pPr>
        <w:spacing w:after="280" w:before="0"/>
      </w:pPr>
    </w:p>
    <w:p>
      <w:pPr>
        <w:pStyle w:val="Heading1"/>
        <w:spacing w:after="140" w:before="480"/>
      </w:pPr>
      <w:r>
        <w:rPr>
          <w:rFonts w:ascii="Georgia" w:cs="Georgia" w:eastAsia="Georgia" w:hAnsi="Georgia"/>
          <w:b/>
          <w:bCs/>
          <w:color w:val="1F3864"/>
          <w:sz w:val="30"/>
          <w:szCs w:val="30"/>
        </w:rPr>
        <w:t xml:space="preserve">I.  What Presence Is — and What It Is Not</w:t>
      </w:r>
    </w:p>
    <w:p>
      <w:pPr>
        <w:spacing w:after="185" w:before="0"/>
        <w:jc w:val="both"/>
      </w:pPr>
      <w:r>
        <w:rPr>
          <w:rFonts w:ascii="Georgia" w:cs="Georgia" w:eastAsia="Georgia" w:hAnsi="Georgia"/>
          <w:b w:val="false"/>
          <w:bCs w:val="false"/>
          <w:i w:val="false"/>
          <w:iCs w:val="false"/>
          <w:color w:val="1A1A1A"/>
          <w:sz w:val="23"/>
          <w:szCs w:val="23"/>
        </w:rPr>
        <w:t xml:space="preserve">Presence in learning does not mean physical co-location. It means the set of conditions under which certain kinds of intellectual and social formation become possible: knowing the people you are learning alongside, experiencing intellectual challenge as a shared rather than solitary activity, having the learning continue after the scheduled session ends because the conversation is genuinely engaging. These conditions have historically been more likely when learners share a physical space. They are not inherent properties of physical space.</w:t>
      </w:r>
    </w:p>
    <w:p>
      <w:pPr>
        <w:spacing w:after="185" w:before="0"/>
        <w:jc w:val="both"/>
      </w:pPr>
      <w:r>
        <w:rPr>
          <w:rFonts w:ascii="Georgia" w:cs="Georgia" w:eastAsia="Georgia" w:hAnsi="Georgia"/>
          <w:b w:val="false"/>
          <w:bCs w:val="false"/>
          <w:i w:val="false"/>
          <w:iCs w:val="false"/>
          <w:color w:val="1A1A1A"/>
          <w:sz w:val="23"/>
          <w:szCs w:val="23"/>
        </w:rPr>
        <w:t xml:space="preserve">An institution that moves its content online without addressing the presence question has simply removed the co-location without replacing the conditions it enabled. The result is content delivery — technically excellent, potentially — without the community dimension that distinguishes an education from an accumulation of modules.</w:t>
      </w:r>
    </w:p>
    <w:p>
      <w:pPr>
        <w:spacing w:after="185" w:before="0"/>
        <w:jc w:val="both"/>
      </w:pPr>
      <w:r>
        <w:rPr>
          <w:rFonts w:ascii="Georgia" w:cs="Georgia" w:eastAsia="Georgia" w:hAnsi="Georgia"/>
          <w:b w:val="false"/>
          <w:bCs w:val="false"/>
          <w:i w:val="false"/>
          <w:iCs w:val="false"/>
          <w:color w:val="1A1A1A"/>
          <w:sz w:val="23"/>
          <w:szCs w:val="23"/>
        </w:rPr>
        <w:t xml:space="preserve">The OUG's asynchronous-first format is a deliberate design choice for the learner whose life cannot accommodate fixed schedules. The Presence Architecture is the complementary design choice: given that co-location cannot produce community as a side effect, what structures will produce it deliberately?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The British seminar that continued beyond the classroom, the American case method that combined challenge with enjoyment and produced durable memory — these were not outcomes of physical presence. They were outcomes of designed conditions that physical presence happened to make easier. The Presence Architecture makes those conditions explicit.</w:t>
            </w:r>
          </w:p>
        </w:tc>
      </w:tr>
    </w:tbl>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II.  The Four Presence Mechanisms</w:t>
      </w:r>
    </w:p>
    <w:p>
      <w:pPr>
        <w:spacing w:after="80" w:before="0"/>
        <w:jc w:val="both"/>
      </w:pPr>
      <w:r>
        <w:rPr>
          <w:rFonts w:ascii="Georgia" w:cs="Georgia" w:eastAsia="Georgia" w:hAnsi="Georgia"/>
          <w:b w:val="false"/>
          <w:bCs w:val="false"/>
          <w:i w:val="false"/>
          <w:iCs w:val="false"/>
          <w:color w:val="1A1A1A"/>
          <w:sz w:val="23"/>
          <w:szCs w:val="23"/>
        </w:rPr>
        <w:t xml:space="preserve">The Presence Architecture consists of four designed mechanisms. Each addresses a different dimension of the community and engagement conditions that cohort-based learning requires. Each has a minimum operational standard and a review mechanism that distinguishes genuine community from its appearance.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F3864" w:val="clear"/>
            <w:tcMar>
              <w:top w:type="dxa" w:w="90"/>
              <w:left w:type="dxa" w:w="200"/>
              <w:bottom w:type="dxa" w:w="90"/>
              <w:right w:type="dxa" w:w="160"/>
            </w:tcMar>
          </w:tcPr>
          <w:p>
            <w:pPr>
              <w:spacing w:after="15" w:before="0"/>
            </w:pPr>
            <w:r>
              <w:rPr>
                <w:rFonts w:ascii="Arial" w:cs="Arial" w:eastAsia="Arial" w:hAnsi="Arial"/>
                <w:color w:val="8899BB"/>
                <w:sz w:val="15"/>
                <w:szCs w:val="15"/>
              </w:rPr>
              <w:t xml:space="preserve">Mechanism 1</w:t>
            </w:r>
          </w:p>
          <w:p>
            <w:pPr>
              <w:spacing w:after="0" w:before="0"/>
            </w:pPr>
            <w:r>
              <w:rPr>
                <w:rFonts w:ascii="Georgia" w:cs="Georgia" w:eastAsia="Georgia" w:hAnsi="Georgia"/>
                <w:b/>
                <w:bCs/>
                <w:color w:val="FFFFFF"/>
                <w:sz w:val="23"/>
                <w:szCs w:val="23"/>
              </w:rPr>
              <w:t xml:space="preserve">Cohort Formation Architecture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left w:val="none"/>
              <w:bottom w:val="none"/>
              <w:right w:val="none"/>
            </w:tcBorders>
            <w:shd w:fill="F4F7FA" w:val="clear"/>
            <w:tcMar>
              <w:top w:type="dxa" w:w="50"/>
              <w:left w:type="dxa" w:w="120"/>
              <w:bottom w:type="dxa" w:w="40"/>
              <w:right w:type="dxa" w:w="80"/>
            </w:tcMar>
          </w:tcPr>
          <w:p>
            <w:r>
              <w:rPr>
                <w:rFonts w:ascii="Arial" w:cs="Arial" w:eastAsia="Arial" w:hAnsi="Arial"/>
                <w:b/>
                <w:bCs/>
                <w:caps/>
                <w:color w:val="1F3864"/>
                <w:sz w:val="13"/>
                <w:szCs w:val="13"/>
              </w:rPr>
              <w:t xml:space="preserve">What it is</w:t>
            </w:r>
          </w:p>
        </w:tc>
        <w:tc>
          <w:tcPr>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Minimum standard</w:t>
            </w:r>
          </w:p>
        </w:tc>
        <w:tc>
          <w:tcPr>
            <w:tcBorders>
              <w:top w:val="none"/>
              <w:left w:val="none"/>
              <w:bottom w:val="none"/>
              <w:right w:val="none"/>
            </w:tcBorders>
            <w:shd w:fill="F4F7FA" w:val="clear"/>
            <w:tcMar>
              <w:top w:type="dxa" w:w="50"/>
              <w:left w:type="dxa" w:w="120"/>
              <w:bottom w:type="dxa" w:w="40"/>
              <w:right w:type="dxa" w:w="80"/>
            </w:tcMar>
          </w:tcPr>
          <w:p>
            <w:r>
              <w:rPr>
                <w:rFonts w:ascii="Arial" w:cs="Arial" w:eastAsia="Arial" w:hAnsi="Arial"/>
                <w:b/>
                <w:bCs/>
                <w:caps/>
                <w:color w:val="2E75B6"/>
                <w:sz w:val="13"/>
                <w:szCs w:val="13"/>
              </w:rPr>
              <w:t xml:space="preserve">How it is reviewed</w:t>
            </w:r>
          </w:p>
        </w:tc>
      </w:tr>
      <w:tr>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Every learner is assigned to a cohort at enrolment — 15–25 learners progressing through the same programme strand at a similar pace. The cohort has a shared digital space, a named Academic Steward, and a governance role: cohort representatives participate in the Mission Hub Steering Group. The cohort is the learner's primary institutional community.</w:t>
            </w:r>
          </w:p>
        </w:tc>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Every active learner is in a named cohort within 14 days of enrolment. Every cohort has at least one cohort-specific synchronous session per semester — an occasion for the cohort to meet, not for content delivery. The Academic Steward meets the cohort at least once per module cycle.</w:t>
            </w:r>
          </w:p>
        </w:tc>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Annual learner survey: do you know at least three other learners in your cohort by name? Do you have a sense of shared purpose with your cohort? Cohorts with under 50% positive responses on both questions trigger a Mission Hub review. Reported in the Academic Quality Report Domain 1.</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2E75B6" w:val="clear"/>
            <w:tcMar>
              <w:top w:type="dxa" w:w="90"/>
              <w:left w:type="dxa" w:w="200"/>
              <w:bottom w:type="dxa" w:w="90"/>
              <w:right w:type="dxa" w:w="160"/>
            </w:tcMar>
          </w:tcPr>
          <w:p>
            <w:pPr>
              <w:spacing w:after="15" w:before="0"/>
            </w:pPr>
            <w:r>
              <w:rPr>
                <w:rFonts w:ascii="Arial" w:cs="Arial" w:eastAsia="Arial" w:hAnsi="Arial"/>
                <w:color w:val="8899BB"/>
                <w:sz w:val="15"/>
                <w:szCs w:val="15"/>
              </w:rPr>
              <w:t xml:space="preserve">Mechanism 2</w:t>
            </w:r>
          </w:p>
          <w:p>
            <w:pPr>
              <w:spacing w:after="0" w:before="0"/>
            </w:pPr>
            <w:r>
              <w:rPr>
                <w:rFonts w:ascii="Georgia" w:cs="Georgia" w:eastAsia="Georgia" w:hAnsi="Georgia"/>
                <w:b/>
                <w:bCs/>
                <w:color w:val="FFFFFF"/>
                <w:sz w:val="23"/>
                <w:szCs w:val="23"/>
              </w:rPr>
              <w:t xml:space="preserve">Synchronous Encounter Occasions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left w:val="none"/>
              <w:bottom w:val="none"/>
              <w:right w:val="none"/>
            </w:tcBorders>
            <w:shd w:fill="F4F7FA" w:val="clear"/>
            <w:tcMar>
              <w:top w:type="dxa" w:w="50"/>
              <w:left w:type="dxa" w:w="120"/>
              <w:bottom w:type="dxa" w:w="40"/>
              <w:right w:type="dxa" w:w="80"/>
            </w:tcMar>
          </w:tcPr>
          <w:p>
            <w:r>
              <w:rPr>
                <w:rFonts w:ascii="Arial" w:cs="Arial" w:eastAsia="Arial" w:hAnsi="Arial"/>
                <w:b/>
                <w:bCs/>
                <w:caps/>
                <w:color w:val="1F3864"/>
                <w:sz w:val="13"/>
                <w:szCs w:val="13"/>
              </w:rPr>
              <w:t xml:space="preserve">What it is</w:t>
            </w:r>
          </w:p>
        </w:tc>
        <w:tc>
          <w:tcPr>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Minimum standard</w:t>
            </w:r>
          </w:p>
        </w:tc>
        <w:tc>
          <w:tcPr>
            <w:tcBorders>
              <w:top w:val="none"/>
              <w:left w:val="none"/>
              <w:bottom w:val="none"/>
              <w:right w:val="none"/>
            </w:tcBorders>
            <w:shd w:fill="F4F7FA" w:val="clear"/>
            <w:tcMar>
              <w:top w:type="dxa" w:w="50"/>
              <w:left w:type="dxa" w:w="120"/>
              <w:bottom w:type="dxa" w:w="40"/>
              <w:right w:type="dxa" w:w="80"/>
            </w:tcMar>
          </w:tcPr>
          <w:p>
            <w:r>
              <w:rPr>
                <w:rFonts w:ascii="Arial" w:cs="Arial" w:eastAsia="Arial" w:hAnsi="Arial"/>
                <w:b/>
                <w:bCs/>
                <w:caps/>
                <w:color w:val="2E75B6"/>
                <w:sz w:val="13"/>
                <w:szCs w:val="13"/>
              </w:rPr>
              <w:t xml:space="preserve">How it is reviewed</w:t>
            </w:r>
          </w:p>
        </w:tc>
      </w:tr>
      <w:tr>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Synchronous attendance is never a graduation requirement. Synchronous occasions are designed as high-value community events — their purpose is encounter: the experience of being intellectually present with others who share the same learning context. At least four institution-level occasions per academic year are offered.</w:t>
            </w:r>
          </w:p>
        </w:tc>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At minimum: one cohort synchronous session per semester (cohort-level), one Mission Hub seminar per semester open to all Hub contributors (Hub-level), and one institution-wide event per academic year. Each occasion has a named pedagogical purpose — a specific question or challenge, not a catch-up session.</w:t>
            </w:r>
          </w:p>
        </w:tc>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Attendance rate is tracked but not used as a quality metric. The review question: are occasions designed well enough that learners choose to attend? Post-occasion surveys ask one question: was this worth your time? Occasions with under 60% 'yes' are redesigned before the next cycle.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A5C4A" w:val="clear"/>
            <w:tcMar>
              <w:top w:type="dxa" w:w="90"/>
              <w:left w:type="dxa" w:w="200"/>
              <w:bottom w:type="dxa" w:w="90"/>
              <w:right w:type="dxa" w:w="160"/>
            </w:tcMar>
          </w:tcPr>
          <w:p>
            <w:pPr>
              <w:spacing w:after="15" w:before="0"/>
            </w:pPr>
            <w:r>
              <w:rPr>
                <w:rFonts w:ascii="Arial" w:cs="Arial" w:eastAsia="Arial" w:hAnsi="Arial"/>
                <w:color w:val="8899BB"/>
                <w:sz w:val="15"/>
                <w:szCs w:val="15"/>
              </w:rPr>
              <w:t xml:space="preserve">Mechanism 3</w:t>
            </w:r>
          </w:p>
          <w:p>
            <w:pPr>
              <w:spacing w:after="0" w:before="0"/>
            </w:pPr>
            <w:r>
              <w:rPr>
                <w:rFonts w:ascii="Georgia" w:cs="Georgia" w:eastAsia="Georgia" w:hAnsi="Georgia"/>
                <w:b/>
                <w:bCs/>
                <w:color w:val="FFFFFF"/>
                <w:sz w:val="23"/>
                <w:szCs w:val="23"/>
              </w:rPr>
              <w:t xml:space="preserve">Beyond-Session Engagement Design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left w:val="none"/>
              <w:bottom w:val="none"/>
              <w:right w:val="none"/>
            </w:tcBorders>
            <w:shd w:fill="F4F7FA" w:val="clear"/>
            <w:tcMar>
              <w:top w:type="dxa" w:w="50"/>
              <w:left w:type="dxa" w:w="120"/>
              <w:bottom w:type="dxa" w:w="40"/>
              <w:right w:type="dxa" w:w="80"/>
            </w:tcMar>
          </w:tcPr>
          <w:p>
            <w:r>
              <w:rPr>
                <w:rFonts w:ascii="Arial" w:cs="Arial" w:eastAsia="Arial" w:hAnsi="Arial"/>
                <w:b/>
                <w:bCs/>
                <w:caps/>
                <w:color w:val="1F3864"/>
                <w:sz w:val="13"/>
                <w:szCs w:val="13"/>
              </w:rPr>
              <w:t xml:space="preserve">What it is</w:t>
            </w:r>
          </w:p>
        </w:tc>
        <w:tc>
          <w:tcPr>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Minimum standard</w:t>
            </w:r>
          </w:p>
        </w:tc>
        <w:tc>
          <w:tcPr>
            <w:tcBorders>
              <w:top w:val="none"/>
              <w:left w:val="none"/>
              <w:bottom w:val="none"/>
              <w:right w:val="none"/>
            </w:tcBorders>
            <w:shd w:fill="F4F7FA" w:val="clear"/>
            <w:tcMar>
              <w:top w:type="dxa" w:w="50"/>
              <w:left w:type="dxa" w:w="120"/>
              <w:bottom w:type="dxa" w:w="40"/>
              <w:right w:type="dxa" w:w="80"/>
            </w:tcMar>
          </w:tcPr>
          <w:p>
            <w:r>
              <w:rPr>
                <w:rFonts w:ascii="Arial" w:cs="Arial" w:eastAsia="Arial" w:hAnsi="Arial"/>
                <w:b/>
                <w:bCs/>
                <w:caps/>
                <w:color w:val="2E75B6"/>
                <w:sz w:val="13"/>
                <w:szCs w:val="13"/>
              </w:rPr>
              <w:t xml:space="preserve">How it is reviewed</w:t>
            </w:r>
          </w:p>
        </w:tc>
      </w:tr>
      <w:tr>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Each module is designed to produce at least one discussion thread, collaborative challenge, or peer review activity that continues beyond the scheduled learning window. The cohort space includes a standing open discussion channel where any learner can raise a question or share a professional application of module content. Academic Stewards participate in this channel — not to moderate but to engage.</w:t>
            </w:r>
          </w:p>
        </w:tc>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Every module specification includes at least one beyond-session engagement activity as a required design element. The cohort space open discussion channel must have at least one Academic Steward contribution per week during active module cycles.</w:t>
            </w:r>
          </w:p>
        </w:tc>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Stichprobe sampling includes review of beyond-session engagement activity design quality — not participation rates but whether the activity is genuinely engaging or a compliance checkbox. Modules whose beyond-session activities consistently produce no engagement are flagged for curriculum review.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0D1F3C" w:val="clear"/>
            <w:tcMar>
              <w:top w:type="dxa" w:w="90"/>
              <w:left w:type="dxa" w:w="200"/>
              <w:bottom w:type="dxa" w:w="90"/>
              <w:right w:type="dxa" w:w="160"/>
            </w:tcMar>
          </w:tcPr>
          <w:p>
            <w:pPr>
              <w:spacing w:after="15" w:before="0"/>
            </w:pPr>
            <w:r>
              <w:rPr>
                <w:rFonts w:ascii="Arial" w:cs="Arial" w:eastAsia="Arial" w:hAnsi="Arial"/>
                <w:color w:val="8899BB"/>
                <w:sz w:val="15"/>
                <w:szCs w:val="15"/>
              </w:rPr>
              <w:t xml:space="preserve">Mechanism 4</w:t>
            </w:r>
          </w:p>
          <w:p>
            <w:pPr>
              <w:spacing w:after="0" w:before="0"/>
            </w:pPr>
            <w:r>
              <w:rPr>
                <w:rFonts w:ascii="Georgia" w:cs="Georgia" w:eastAsia="Georgia" w:hAnsi="Georgia"/>
                <w:b/>
                <w:bCs/>
                <w:color w:val="FFFFFF"/>
                <w:sz w:val="23"/>
                <w:szCs w:val="23"/>
              </w:rPr>
              <w:t xml:space="preserve">Presence Architecture Annual Review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left w:val="none"/>
              <w:bottom w:val="none"/>
              <w:right w:val="none"/>
            </w:tcBorders>
            <w:shd w:fill="F4F7FA" w:val="clear"/>
            <w:tcMar>
              <w:top w:type="dxa" w:w="50"/>
              <w:left w:type="dxa" w:w="120"/>
              <w:bottom w:type="dxa" w:w="40"/>
              <w:right w:type="dxa" w:w="80"/>
            </w:tcMar>
          </w:tcPr>
          <w:p>
            <w:r>
              <w:rPr>
                <w:rFonts w:ascii="Arial" w:cs="Arial" w:eastAsia="Arial" w:hAnsi="Arial"/>
                <w:b/>
                <w:bCs/>
                <w:caps/>
                <w:color w:val="1F3864"/>
                <w:sz w:val="13"/>
                <w:szCs w:val="13"/>
              </w:rPr>
              <w:t xml:space="preserve">What it is</w:t>
            </w:r>
          </w:p>
        </w:tc>
        <w:tc>
          <w:tcPr>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Minimum standard</w:t>
            </w:r>
          </w:p>
        </w:tc>
        <w:tc>
          <w:tcPr>
            <w:tcBorders>
              <w:top w:val="none"/>
              <w:left w:val="none"/>
              <w:bottom w:val="none"/>
              <w:right w:val="none"/>
            </w:tcBorders>
            <w:shd w:fill="F4F7FA" w:val="clear"/>
            <w:tcMar>
              <w:top w:type="dxa" w:w="50"/>
              <w:left w:type="dxa" w:w="120"/>
              <w:bottom w:type="dxa" w:w="40"/>
              <w:right w:type="dxa" w:w="80"/>
            </w:tcMar>
          </w:tcPr>
          <w:p>
            <w:r>
              <w:rPr>
                <w:rFonts w:ascii="Arial" w:cs="Arial" w:eastAsia="Arial" w:hAnsi="Arial"/>
                <w:b/>
                <w:bCs/>
                <w:caps/>
                <w:color w:val="2E75B6"/>
                <w:sz w:val="13"/>
                <w:szCs w:val="13"/>
              </w:rPr>
              <w:t xml:space="preserve">How it is reviewed</w:t>
            </w:r>
          </w:p>
        </w:tc>
      </w:tr>
      <w:tr>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Each Mission Hub produces a Presence Statement as part of its annual academic plan review — a structured account of how the four mechanisms are functioning within the Hub. The Statement addresses three questions: are cohorts forming genuine community, are synchronous occasions producing the encounters they were designed for, and is the learning continuing beyond scheduled sessions?</w:t>
            </w:r>
          </w:p>
        </w:tc>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Every Mission Hub submits a Presence Statement by end of each academic year. The Statement must be evidence-based — it cites learner survey data, attendance patterns, and Academic Steward observations. A Hub whose Statement cannot point to evidence of genuine community formation triggers a Quality Commission review.</w:t>
            </w:r>
          </w:p>
        </w:tc>
        <w:tc>
          <w:tcPr>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Quality Commission reviews all Hub Presence Statements at its annual meeting and produces a cross-Hub Presence Assessment for the Senate. The Senate's quality discussion addresses both content quality (from the Stichprobe) and community quality (from the Presence Assessment).</w:t>
            </w:r>
          </w:p>
        </w:tc>
      </w:tr>
    </w:tbl>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III.  What Cannot Be Designed — and Why This Matters</w:t>
      </w:r>
    </w:p>
    <w:p>
      <w:pPr>
        <w:spacing w:after="185" w:before="0"/>
        <w:jc w:val="both"/>
      </w:pPr>
      <w:r>
        <w:rPr>
          <w:rFonts w:ascii="Georgia" w:cs="Georgia" w:eastAsia="Georgia" w:hAnsi="Georgia"/>
          <w:b w:val="false"/>
          <w:bCs w:val="false"/>
          <w:i w:val="false"/>
          <w:iCs w:val="false"/>
          <w:color w:val="1A1A1A"/>
          <w:sz w:val="23"/>
          <w:szCs w:val="23"/>
        </w:rPr>
        <w:t xml:space="preserve">The Presence Architecture specifies the structural conditions for community. It cannot specify community itself. A cohort whose members meet synchronously and engage in beyond-session discussions but do not develop genuine intellectual relationships has satisfied the architecture's minimum standards without achieving its purpose. The architecture creates the conditions; the community is what learners and Academic Stewards make of those conditions.</w:t>
      </w:r>
    </w:p>
    <w:p>
      <w:pPr>
        <w:spacing w:after="185" w:before="0"/>
        <w:jc w:val="both"/>
      </w:pPr>
      <w:r>
        <w:rPr>
          <w:rFonts w:ascii="Georgia" w:cs="Georgia" w:eastAsia="Georgia" w:hAnsi="Georgia"/>
          <w:b w:val="false"/>
          <w:bCs w:val="false"/>
          <w:i w:val="false"/>
          <w:iCs w:val="false"/>
          <w:color w:val="1A1A1A"/>
          <w:sz w:val="23"/>
          <w:szCs w:val="23"/>
        </w:rPr>
        <w:t xml:space="preserve">The review mechanisms in each mechanism are specifically calibrated to detect this: they ask whether genuine formation occurred, not whether the activities were conducted.</w:t>
      </w:r>
    </w:p>
    <w:p>
      <w:pPr>
        <w:spacing w:after="185" w:before="0"/>
        <w:jc w:val="both"/>
      </w:pPr>
      <w:r>
        <w:rPr>
          <w:rFonts w:ascii="Georgia" w:cs="Georgia" w:eastAsia="Georgia" w:hAnsi="Georgia"/>
          <w:b w:val="false"/>
          <w:bCs w:val="false"/>
          <w:i w:val="false"/>
          <w:iCs w:val="false"/>
          <w:color w:val="1A1A1A"/>
          <w:sz w:val="23"/>
          <w:szCs w:val="23"/>
        </w:rPr>
        <w:t xml:space="preserve">The Academic Steward role is the human infrastructure the architecture depends on. A well-specified cohort architecture with an absent or disengaged Academic Steward will not produce genuine community. Academic Steward selection must explicitly assess community-building capability alongside disciplinary expertise.</w:t>
      </w:r>
    </w:p>
    <w:p>
      <w:pPr>
        <w:spacing w:after="185" w:before="0"/>
        <w:jc w:val="both"/>
      </w:pPr>
      <w:r>
        <w:rPr>
          <w:rFonts w:ascii="Georgia" w:cs="Georgia" w:eastAsia="Georgia" w:hAnsi="Georgia"/>
          <w:b w:val="false"/>
          <w:bCs w:val="false"/>
          <w:i/>
          <w:iCs/>
          <w:color w:val="4A5568"/>
          <w:sz w:val="23"/>
          <w:szCs w:val="23"/>
        </w:rPr>
        <w:t xml:space="preserve">The first cohort year will reveal what the architecture can and cannot produce. Learners who stop after one module and do not return are the most important signal. If they leave because the content was not what they needed, that is a curriculum signal. If they leave because they felt isolated and unsupported, that is a Presence Architecture signal. The distinction must be tracked.</w:t>
      </w:r>
    </w:p>
    <w:p>
      <w:pPr>
        <w:spacing w:after="200" w:before="0"/>
      </w:pPr>
    </w:p>
    <w:p>
      <w:pPr>
        <w:pBdr>
          <w:bottom w:val="single" w:color="2E75B6" w:sz="4" w:space="1"/>
        </w:pBdr>
        <w:spacing w:after="120" w:before="0"/>
      </w:pPr>
    </w:p>
    <w:p>
      <w:pPr>
        <w:pBdr>
          <w:bottom w:val="single" w:color="2E75B6" w:sz="4" w:space="1"/>
        </w:pBdr>
        <w:spacing w:after="120" w:before="200"/>
      </w:pPr>
    </w:p>
    <w:p>
      <w:pPr>
        <w:spacing w:after="0" w:before="120"/>
        <w:jc w:val="right"/>
      </w:pPr>
      <w:r>
        <w:rPr>
          <w:rFonts w:ascii="Arial" w:cs="Arial" w:eastAsia="Arial" w:hAnsi="Arial"/>
          <w:i/>
          <w:iCs/>
          <w:color w:val="BBBBBB"/>
          <w:sz w:val="16"/>
          <w:szCs w:val="16"/>
        </w:rPr>
        <w:t xml:space="preserve">Open University of Germany  ·  Presence Architecture  ·  GP-2 Gap Closure  ·  2026</w:t>
      </w:r>
    </w:p>
    <w:sectPr>
      <w:pgSz w:w="11906" w:h="16838" w:orient="portrait"/>
      <w:pgMar w:top="13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00" w:before="300"/>
      <w:outlineLvl w:val="1"/>
    </w:pPr>
    <w:rPr>
      <w:rFonts w:ascii="Georgia" w:cs="Georgia" w:eastAsia="Georgia" w:hAnsi="Georgia"/>
      <w:b/>
      <w:bCs/>
      <w:color w:val="2E75B6"/>
      <w:sz w:val="25"/>
      <w:szCs w:val="25"/>
    </w:rPr>
  </w:style>
  <w:style w:type="paragraph" w:styleId="Heading3">
    <w:name w:val="Heading 3"/>
    <w:basedOn w:val="Normal"/>
    <w:next w:val="Normal"/>
    <w:qFormat/>
    <w:pPr>
      <w:spacing w:after="70" w:before="220"/>
      <w:outlineLvl w:val="2"/>
    </w:pPr>
    <w:rPr>
      <w:rFonts w:ascii="Arial" w:cs="Arial" w:eastAsia="Arial" w:hAnsi="Arial"/>
      <w:b/>
      <w:bCs/>
      <w:color w:val="1A5C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2026-06-03T06:48:49.238Z</dcterms:created>
  <dcterms:modified xsi:type="dcterms:W3CDTF">2026-06-03T06:48:49.331Z</dcterms:modified>
</cp:coreProperties>
</file>

<file path=docProps/custom.xml><?xml version="1.0" encoding="utf-8"?>
<Properties xmlns="http://schemas.openxmlformats.org/officeDocument/2006/custom-properties" xmlns:vt="http://schemas.openxmlformats.org/officeDocument/2006/docPropsVTypes"/>
</file>