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aps/>
          <w:color w:val="2E75B6"/>
          <w:sz w:val="17"/>
          <w:szCs w:val="17"/>
        </w:rPr>
        <w:t xml:space="preserve">OPEN UNIVERSITY OF GERMANY  ·  FOUNDING DOCUMENT</w:t>
      </w:r>
    </w:p>
    <w:p>
      <w:pPr>
        <w:spacing w:after="50" w:before="0"/>
      </w:pPr>
      <w:r>
        <w:rPr>
          <w:rFonts w:ascii="Arial" w:cs="Arial" w:eastAsia="Arial" w:hAnsi="Arial"/>
          <w:color w:val="AAAAAA"/>
          <w:sz w:val="17"/>
          <w:szCs w:val="17"/>
        </w:rPr>
        <w:t xml:space="preserve">Second Edition  ·  Six Dialogue Sources  ·  2026</w:t>
      </w:r>
    </w:p>
    <w:p>
      <w:pPr>
        <w:pBdr>
          <w:bottom w:val="single" w:color="2E75B6" w:sz="10" w:space="1"/>
        </w:pBdr>
        <w:spacing w:after="240" w:before="0"/>
      </w:pPr>
    </w:p>
    <w:p>
      <w:pPr>
        <w:spacing w:after="40" w:before="0"/>
      </w:pPr>
      <w:r>
        <w:rPr>
          <w:rFonts w:ascii="Georgia" w:cs="Georgia" w:eastAsia="Georgia" w:hAnsi="Georgia"/>
          <w:b/>
          <w:bCs/>
          <w:color w:val="0D1F3C"/>
          <w:sz w:val="44"/>
          <w:szCs w:val="44"/>
        </w:rPr>
        <w:t xml:space="preserve">Our Design Signature</w:t>
      </w:r>
    </w:p>
    <w:p>
      <w:pPr>
        <w:spacing w:after="280" w:before="0"/>
      </w:pPr>
      <w:r>
        <w:rPr>
          <w:rFonts w:ascii="Georgia" w:cs="Georgia" w:eastAsia="Georgia" w:hAnsi="Georgia"/>
          <w:i/>
          <w:iCs/>
          <w:color w:val="1F3864"/>
          <w:sz w:val="21"/>
          <w:szCs w:val="21"/>
        </w:rPr>
        <w:t xml:space="preserve">Founding Years  ·  Second Edition  ·  Updated to include CP-1–CP-8 (Curr4) and SP-1–SP-8 (7org)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180"/>
              <w:left w:type="dxa" w:w="260"/>
              <w:bottom w:type="dxa" w:w="180"/>
              <w:right w:type="dxa" w:w="260"/>
            </w:tcMar>
          </w:tcPr>
          <w:p>
            <w:pPr>
              <w:spacing w:after="70" w:before="0"/>
            </w:pPr>
            <w:r>
              <w:rPr>
                <w:rFonts w:ascii="Arial" w:cs="Arial" w:eastAsia="Arial" w:hAnsi="Arial"/>
                <w:b/>
                <w:bCs/>
                <w:color w:val="1F3864"/>
                <w:sz w:val="17"/>
                <w:szCs w:val="17"/>
              </w:rPr>
              <w:t xml:space="preserve">What a Design Signature is — and what it is not</w:t>
            </w:r>
          </w:p>
          <w:p>
            <w:pPr>
              <w:spacing w:after="80" w:before="0"/>
              <w:jc w:val="both"/>
            </w:pPr>
            <w:r>
              <w:rPr>
                <w:rFonts w:ascii="Georgia" w:cs="Georgia" w:eastAsia="Georgia" w:hAnsi="Georgia"/>
                <w:color w:val="1A1A1A"/>
                <w:sz w:val="22"/>
                <w:szCs w:val="22"/>
              </w:rPr>
              <w:t xml:space="preserve">A Design Signature is not a mission statement. Mission statements describe intentions. A Design Signature describes choices — what an institution has built, what it has deliberately not yet built, and what it commits to becoming. The distinction matters because intention without structure is aspiration, and aspiration without accountability is performance.</w:t>
            </w:r>
          </w:p>
          <w:p>
            <w:pPr>
              <w:spacing w:after="80" w:before="0"/>
              <w:jc w:val="both"/>
            </w:pPr>
            <w:r>
              <w:rPr>
                <w:rFonts w:ascii="Georgia" w:cs="Georgia" w:eastAsia="Georgia" w:hAnsi="Georgia"/>
                <w:color w:val="1A1A1A"/>
                <w:sz w:val="22"/>
                <w:szCs w:val="22"/>
              </w:rPr>
              <w:t xml:space="preserve">This is the second edition of the Design Signature, updated to include the eight curriculum design principles (CP-1 through CP-8, derived from the dialogue with Person Curr4) and the eight system perspective principles (SP-1 through SP-8, derived from the dialogue with Person 7org). The Developmental Audit commitment — closing the SP-8 gap — is the most significant new entry. Together, forty-two principles from six dialogue sources now constitute the working picture of who this institution is and what it has committed to becoming.</w:t>
            </w:r>
          </w:p>
          <w:p>
            <w:pPr>
              <w:spacing w:after="0" w:before="0"/>
              <w:jc w:val="both"/>
            </w:pPr>
            <w:r>
              <w:rPr>
                <w:rFonts w:ascii="Georgia" w:cs="Georgia" w:eastAsia="Georgia" w:hAnsi="Georgia"/>
                <w:i/>
                <w:iCs/>
                <w:color w:val="4A5568"/>
                <w:sz w:val="22"/>
                <w:szCs w:val="22"/>
              </w:rPr>
              <w:t xml:space="preserve">We are not everything we intend to be. We are honest about the distance between where we stand and where we are going. That honesty is itself a design principle.</w:t>
            </w:r>
          </w:p>
        </w:tc>
      </w:tr>
    </w:tbl>
    <w:p>
      <w:pPr>
        <w:spacing w:after="280" w:before="0"/>
      </w:pPr>
    </w:p>
    <w:p>
      <w:pPr>
        <w:pStyle w:val="Heading1"/>
        <w:spacing w:after="140" w:before="480"/>
      </w:pPr>
      <w:r>
        <w:rPr>
          <w:rFonts w:ascii="Georgia" w:cs="Georgia" w:eastAsia="Georgia" w:hAnsi="Georgia"/>
          <w:b/>
          <w:bCs/>
          <w:color w:val="1F3864"/>
          <w:sz w:val="30"/>
          <w:szCs w:val="30"/>
        </w:rPr>
        <w:t xml:space="preserve">I.  The Signature at a Glance</w:t>
      </w:r>
    </w:p>
    <w:p>
      <w:pPr>
        <w:spacing w:after="80" w:before="0"/>
        <w:jc w:val="both"/>
      </w:pPr>
      <w:r>
        <w:rPr>
          <w:rFonts w:ascii="Georgia" w:cs="Georgia" w:eastAsia="Georgia" w:hAnsi="Georgia"/>
          <w:b w:val="false"/>
          <w:bCs w:val="false"/>
          <w:i w:val="false"/>
          <w:iCs w:val="false"/>
          <w:color w:val="1A1A1A"/>
          <w:sz w:val="23"/>
          <w:szCs w:val="23"/>
        </w:rPr>
        <w:t xml:space="preserve">Forty-two principles derived from six dialogue sources. The table below shows, for each principle, where the OUG currently stands.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500"/>
        <w:gridCol w:w="2826"/>
      </w:tblGrid>
      <w:tr>
        <w:tc>
          <w:tcPr>
            <w:tcW w:type="dxa" w:w="700"/>
            <w:tcBorders>
              <w:top w:val="none"/>
              <w:left w:val="none"/>
              <w:bottom w:val="none"/>
              <w:right w:val="none"/>
            </w:tcBorders>
            <w:shd w:fill="0D1F3C" w:val="clear"/>
            <w:tcMar>
              <w:top w:type="dxa" w:w="70"/>
              <w:left w:type="dxa" w:w="100"/>
              <w:bottom w:type="dxa" w:w="70"/>
              <w:right w:type="dxa" w:w="80"/>
            </w:tcMar>
          </w:tcPr>
          <w:p>
            <w:r>
              <w:rPr>
                <w:rFonts w:ascii="Arial" w:cs="Arial" w:eastAsia="Arial" w:hAnsi="Arial"/>
                <w:b/>
                <w:bCs/>
                <w:color w:val="FFFFFF"/>
                <w:sz w:val="16"/>
                <w:szCs w:val="16"/>
              </w:rPr>
              <w:t xml:space="preserve">Ref</w:t>
            </w:r>
          </w:p>
        </w:tc>
        <w:tc>
          <w:tcPr>
            <w:tcW w:type="dxa" w:w="3000"/>
            <w:tcBorders>
              <w:top w:val="none"/>
              <w:left w:val="none"/>
              <w:bottom w:val="none"/>
              <w:right w:val="none"/>
            </w:tcBorders>
            <w:shd w:fill="0D1F3C" w:val="clear"/>
            <w:tcMar>
              <w:top w:type="dxa" w:w="70"/>
              <w:left w:type="dxa" w:w="100"/>
              <w:bottom w:type="dxa" w:w="70"/>
              <w:right w:type="dxa" w:w="80"/>
            </w:tcMar>
          </w:tcPr>
          <w:p>
            <w:r>
              <w:rPr>
                <w:rFonts w:ascii="Arial" w:cs="Arial" w:eastAsia="Arial" w:hAnsi="Arial"/>
                <w:b/>
                <w:bCs/>
                <w:color w:val="FFFFFF"/>
                <w:sz w:val="16"/>
                <w:szCs w:val="16"/>
              </w:rPr>
              <w:t xml:space="preserve">Principle</w:t>
            </w:r>
          </w:p>
        </w:tc>
        <w:tc>
          <w:tcPr>
            <w:tcW w:type="dxa" w:w="2500"/>
            <w:tcBorders>
              <w:top w:val="none"/>
              <w:left w:val="none"/>
              <w:bottom w:val="none"/>
              <w:right w:val="none"/>
            </w:tcBorders>
            <w:shd w:fill="0D1F3C" w:val="clear"/>
            <w:tcMar>
              <w:top w:type="dxa" w:w="70"/>
              <w:left w:type="dxa" w:w="100"/>
              <w:bottom w:type="dxa" w:w="70"/>
              <w:right w:type="dxa" w:w="80"/>
            </w:tcMar>
          </w:tcPr>
          <w:p>
            <w:r>
              <w:rPr>
                <w:rFonts w:ascii="Arial" w:cs="Arial" w:eastAsia="Arial" w:hAnsi="Arial"/>
                <w:b/>
                <w:bCs/>
                <w:color w:val="FFFFFF"/>
                <w:sz w:val="16"/>
                <w:szCs w:val="16"/>
              </w:rPr>
              <w:t xml:space="preserve">Source</w:t>
            </w:r>
          </w:p>
        </w:tc>
        <w:tc>
          <w:tcPr>
            <w:tcW w:type="dxa" w:w="2826"/>
            <w:tcBorders>
              <w:top w:val="none"/>
              <w:left w:val="none"/>
              <w:bottom w:val="none"/>
              <w:right w:val="none"/>
            </w:tcBorders>
            <w:shd w:fill="0D1F3C" w:val="clear"/>
            <w:tcMar>
              <w:top w:type="dxa" w:w="70"/>
              <w:left w:type="dxa" w:w="100"/>
              <w:bottom w:type="dxa" w:w="70"/>
              <w:right w:type="dxa" w:w="80"/>
            </w:tcMar>
          </w:tcPr>
          <w:p>
            <w:r>
              <w:rPr>
                <w:rFonts w:ascii="Arial" w:cs="Arial" w:eastAsia="Arial" w:hAnsi="Arial"/>
                <w:b/>
                <w:bCs/>
                <w:color w:val="FFFFFF"/>
                <w:sz w:val="16"/>
                <w:szCs w:val="16"/>
              </w:rPr>
              <w:t xml:space="preserve">Signature</w:t>
            </w:r>
          </w:p>
        </w:tc>
      </w:tr>
      <w:tr>
        <w:tc>
          <w:tcPr>
            <w:tcW w:type="dxa" w:w="9026"/>
            <w:tcBorders>
              <w:top w:val="single" w:color="DDDDDD" w:sz="1"/>
              <w:left w:val="single" w:color="DDDDDD" w:sz="1"/>
              <w:bottom w:val="single" w:color="DDDDDD" w:sz="1"/>
              <w:right w:val="single" w:color="DDDDDD" w:sz="1"/>
            </w:tcBorders>
            <w:shd w:fill="0D1F3C" w:val="clear"/>
            <w:tcMar>
              <w:top w:type="dxa" w:w="60"/>
              <w:left w:type="dxa" w:w="140"/>
              <w:bottom w:type="dxa" w:w="60"/>
              <w:right w:type="dxa" w:w="80"/>
            </w:tcMar>
          </w:tcPr>
          <w:p>
            <w:r>
              <w:rPr>
                <w:rFonts w:ascii="Arial" w:cs="Arial" w:eastAsia="Arial" w:hAnsi="Arial"/>
                <w:color w:val="2E75B6"/>
                <w:sz w:val="15"/>
                <w:szCs w:val="15"/>
              </w:rPr>
              <w:t xml:space="preserve">12 principles  </w:t>
            </w:r>
            <w:r>
              <w:rPr>
                <w:rFonts w:ascii="Arial" w:cs="Arial" w:eastAsia="Arial" w:hAnsi="Arial"/>
                <w:b/>
                <w:bCs/>
                <w:caps/>
                <w:color w:val="FFFFFF"/>
                <w:sz w:val="16"/>
                <w:szCs w:val="16"/>
              </w:rPr>
              <w:t xml:space="preserve">Expert Dialogues — Person 1 and Person 2</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P1</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Layered System Alignment</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P2</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Distributed &amp; Staged Decision-Making</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P3</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Collegial Governance</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P4</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Participatory Strategy Formation</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P5</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Strategic Clarity and Feasibility</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P6</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Continuous Feedback &amp; Adaptive Execution</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P7</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Transformation-Oriented Performance</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P8</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Committees as Distributed Intelligence</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P9</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Role Clarity and Mandate Transparency</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P10</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Checks and Balances</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P11</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Professionalisation of Leadership</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P12</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University as Socially Embedded Institution</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1 &amp; 2</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9026"/>
            <w:tcBorders>
              <w:top w:val="single" w:color="DDDDDD" w:sz="1"/>
              <w:left w:val="single" w:color="DDDDDD" w:sz="1"/>
              <w:bottom w:val="single" w:color="DDDDDD" w:sz="1"/>
              <w:right w:val="single" w:color="DDDDDD" w:sz="1"/>
            </w:tcBorders>
            <w:shd w:fill="0D1F3C" w:val="clear"/>
            <w:tcMar>
              <w:top w:type="dxa" w:w="60"/>
              <w:left w:type="dxa" w:w="140"/>
              <w:bottom w:type="dxa" w:w="60"/>
              <w:right w:type="dxa" w:w="80"/>
            </w:tcMar>
          </w:tcPr>
          <w:p>
            <w:r>
              <w:rPr>
                <w:rFonts w:ascii="Arial" w:cs="Arial" w:eastAsia="Arial" w:hAnsi="Arial"/>
                <w:color w:val="2E75B6"/>
                <w:sz w:val="15"/>
                <w:szCs w:val="15"/>
              </w:rPr>
              <w:t xml:space="preserve">8 principles  </w:t>
            </w:r>
            <w:r>
              <w:rPr>
                <w:rFonts w:ascii="Arial" w:cs="Arial" w:eastAsia="Arial" w:hAnsi="Arial"/>
                <w:b/>
                <w:bCs/>
                <w:caps/>
                <w:color w:val="FFFFFF"/>
                <w:sz w:val="16"/>
                <w:szCs w:val="16"/>
              </w:rPr>
              <w:t xml:space="preserve">HEI Observation Principles — HP-1 through HP-8</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HP-1</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The Legible Law</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HEI Observations</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HP-2</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The Living Mandate</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HEI Observations</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HP-3</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The Aligned Authority</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HEI Observations</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HP-4</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The Bounded Role</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HEI Observations</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HP-5</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The Protected Strategy</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HEI Observations</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HP-6</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The Designed Incentive</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HEI Observations</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HP-7</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The Designed Task</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HEI Observations</w:t>
            </w:r>
          </w:p>
        </w:tc>
        <w:tc>
          <w:tcPr>
            <w:tcW w:type="dxa" w:w="2826"/>
            <w:tcBorders>
              <w:top w:val="single" w:color="DDDDDD" w:sz="1"/>
              <w:left w:val="single" w:color="DDDDDD" w:sz="1"/>
              <w:bottom w:val="single" w:color="DDDDDD" w:sz="1"/>
              <w:right w:val="single" w:color="DDDDDD" w:sz="1"/>
            </w:tcBorders>
            <w:shd w:fill="FAF0EE" w:val="clear"/>
            <w:tcMar>
              <w:top w:type="dxa" w:w="55"/>
              <w:left w:type="dxa" w:w="110"/>
              <w:bottom w:type="dxa" w:w="55"/>
              <w:right w:type="dxa" w:w="70"/>
            </w:tcMar>
          </w:tcPr>
          <w:p>
            <w:r>
              <w:rPr>
                <w:rFonts w:ascii="Arial" w:cs="Arial" w:eastAsia="Arial" w:hAnsi="Arial"/>
                <w:b/>
                <w:bCs/>
                <w:color w:val="8B1A1A"/>
                <w:sz w:val="16"/>
                <w:szCs w:val="16"/>
              </w:rPr>
              <w:t xml:space="preserve">○ Gap — committed</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HP-8</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The Structured Crossing</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HEI Observations</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9026"/>
            <w:tcBorders>
              <w:top w:val="single" w:color="DDDDDD" w:sz="1"/>
              <w:left w:val="single" w:color="DDDDDD" w:sz="1"/>
              <w:bottom w:val="single" w:color="DDDDDD" w:sz="1"/>
              <w:right w:val="single" w:color="DDDDDD" w:sz="1"/>
            </w:tcBorders>
            <w:shd w:fill="0D1F3C" w:val="clear"/>
            <w:tcMar>
              <w:top w:type="dxa" w:w="60"/>
              <w:left w:type="dxa" w:w="140"/>
              <w:bottom w:type="dxa" w:w="60"/>
              <w:right w:type="dxa" w:w="80"/>
            </w:tcMar>
          </w:tcPr>
          <w:p>
            <w:r>
              <w:rPr>
                <w:rFonts w:ascii="Arial" w:cs="Arial" w:eastAsia="Arial" w:hAnsi="Arial"/>
                <w:color w:val="2E75B6"/>
                <w:sz w:val="15"/>
                <w:szCs w:val="15"/>
              </w:rPr>
              <w:t xml:space="preserve">6 principles  </w:t>
            </w:r>
            <w:r>
              <w:rPr>
                <w:rFonts w:ascii="Arial" w:cs="Arial" w:eastAsia="Arial" w:hAnsi="Arial"/>
                <w:b/>
                <w:bCs/>
                <w:caps/>
                <w:color w:val="FFFFFF"/>
                <w:sz w:val="16"/>
                <w:szCs w:val="16"/>
              </w:rPr>
              <w:t xml:space="preserve">Person Learn8 — The Learner Perspective</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LP-1</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The Designed Profile</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Learn8</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LP-2</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The Coherent Path</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Learn8</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LP-3</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The Visible Development</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Learn8</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LP-4</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The Active Member</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Learn8</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LP-5</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The Designed Entry</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Learn8</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LP-6</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The Permission Floor</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Learn8</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9026"/>
            <w:tcBorders>
              <w:top w:val="single" w:color="DDDDDD" w:sz="1"/>
              <w:left w:val="single" w:color="DDDDDD" w:sz="1"/>
              <w:bottom w:val="single" w:color="DDDDDD" w:sz="1"/>
              <w:right w:val="single" w:color="DDDDDD" w:sz="1"/>
            </w:tcBorders>
            <w:shd w:fill="0D1F3C" w:val="clear"/>
            <w:tcMar>
              <w:top w:type="dxa" w:w="60"/>
              <w:left w:type="dxa" w:w="140"/>
              <w:bottom w:type="dxa" w:w="60"/>
              <w:right w:type="dxa" w:w="80"/>
            </w:tcMar>
          </w:tcPr>
          <w:p>
            <w:r>
              <w:rPr>
                <w:rFonts w:ascii="Arial" w:cs="Arial" w:eastAsia="Arial" w:hAnsi="Arial"/>
                <w:color w:val="2E75B6"/>
                <w:sz w:val="15"/>
                <w:szCs w:val="15"/>
              </w:rPr>
              <w:t xml:space="preserve">8 principles  ·  NEW IN THIS EDITION  </w:t>
            </w:r>
            <w:r>
              <w:rPr>
                <w:rFonts w:ascii="Arial" w:cs="Arial" w:eastAsia="Arial" w:hAnsi="Arial"/>
                <w:b/>
                <w:bCs/>
                <w:caps/>
                <w:color w:val="FFFFFF"/>
                <w:sz w:val="16"/>
                <w:szCs w:val="16"/>
              </w:rPr>
              <w:t xml:space="preserve">Person Curr4 — Curriculum as Governance</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CP-1</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Purpose Before Access</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Curr4</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CP-2</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Quality-Gated Federation</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Curr4</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CP-3</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Expert Design Authority</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Curr4</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CP-4</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The Unbundled Teacher</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Curr4</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CP-5</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Concept Over Content</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Curr4</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CP-6</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Year 1 as Designed Trust</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Curr4</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CP-7</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Strategy Before Structure</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Curr4</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CP-8</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Expressible Vision</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Curr4</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9026"/>
            <w:tcBorders>
              <w:top w:val="single" w:color="DDDDDD" w:sz="1"/>
              <w:left w:val="single" w:color="DDDDDD" w:sz="1"/>
              <w:bottom w:val="single" w:color="DDDDDD" w:sz="1"/>
              <w:right w:val="single" w:color="DDDDDD" w:sz="1"/>
            </w:tcBorders>
            <w:shd w:fill="0D1F3C" w:val="clear"/>
            <w:tcMar>
              <w:top w:type="dxa" w:w="60"/>
              <w:left w:type="dxa" w:w="140"/>
              <w:bottom w:type="dxa" w:w="60"/>
              <w:right w:type="dxa" w:w="80"/>
            </w:tcMar>
          </w:tcPr>
          <w:p>
            <w:r>
              <w:rPr>
                <w:rFonts w:ascii="Arial" w:cs="Arial" w:eastAsia="Arial" w:hAnsi="Arial"/>
                <w:color w:val="2E75B6"/>
                <w:sz w:val="15"/>
                <w:szCs w:val="15"/>
              </w:rPr>
              <w:t xml:space="preserve">8 principles  ·  NEW IN THIS EDITION  </w:t>
            </w:r>
            <w:r>
              <w:rPr>
                <w:rFonts w:ascii="Arial" w:cs="Arial" w:eastAsia="Arial" w:hAnsi="Arial"/>
                <w:b/>
                <w:bCs/>
                <w:caps/>
                <w:color w:val="FFFFFF"/>
                <w:sz w:val="16"/>
                <w:szCs w:val="16"/>
              </w:rPr>
              <w:t xml:space="preserve">Person 7org — System Perspective</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SP-1</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The Diverse Ecosystem Principle</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7org</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SP-2</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Adaptive Governance</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7org</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SP-3</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Structure as Home and Challenge</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7org</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SP-4</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Governance as Designed Counterbalancing</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7org</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SP-5</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The Learning Organisation</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7org</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SP-6</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The Heart and Mind of Leadership</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7org</w:t>
            </w:r>
          </w:p>
        </w:tc>
        <w:tc>
          <w:tcPr>
            <w:tcW w:type="dxa" w:w="2826"/>
            <w:tcBorders>
              <w:top w:val="single" w:color="DDDDDD" w:sz="1"/>
              <w:left w:val="single" w:color="DDDDDD" w:sz="1"/>
              <w:bottom w:val="single" w:color="DDDDDD" w:sz="1"/>
              <w:right w:val="single" w:color="DDDDDD" w:sz="1"/>
            </w:tcBorders>
            <w:shd w:fill="FDF6EC" w:val="clear"/>
            <w:tcMar>
              <w:top w:type="dxa" w:w="55"/>
              <w:left w:type="dxa" w:w="110"/>
              <w:bottom w:type="dxa" w:w="55"/>
              <w:right w:type="dxa" w:w="70"/>
            </w:tcMar>
          </w:tcPr>
          <w:p>
            <w:r>
              <w:rPr>
                <w:rFonts w:ascii="Arial" w:cs="Arial" w:eastAsia="Arial" w:hAnsi="Arial"/>
                <w:b/>
                <w:bCs/>
                <w:color w:val="7A4A00"/>
                <w:sz w:val="16"/>
                <w:szCs w:val="16"/>
              </w:rPr>
              <w:t xml:space="preserve">◑ Partial</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SP-7</w:t>
            </w:r>
          </w:p>
        </w:tc>
        <w:tc>
          <w:tcPr>
            <w:tcW w:type="dxa" w:w="30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Arial" w:cs="Arial" w:eastAsia="Arial" w:hAnsi="Arial"/>
                <w:b/>
                <w:bCs/>
                <w:color w:val="1F3864"/>
                <w:sz w:val="17"/>
                <w:szCs w:val="17"/>
              </w:rPr>
              <w:t xml:space="preserve">Leadership as Legitimate Vocation</w:t>
            </w:r>
          </w:p>
        </w:tc>
        <w:tc>
          <w:tcPr>
            <w:tcW w:type="dxa" w:w="2500"/>
            <w:tcBorders>
              <w:top w:val="single" w:color="DDDDDD" w:sz="1"/>
              <w:left w:val="single" w:color="DDDDDD" w:sz="1"/>
              <w:bottom w:val="single" w:color="DDDDDD" w:sz="1"/>
              <w:right w:val="single" w:color="DDDDDD" w:sz="1"/>
            </w:tcBorders>
            <w:shd w:fill="FFFFFF" w:val="clear"/>
            <w:tcMar>
              <w:top w:type="dxa" w:w="55"/>
              <w:left w:type="dxa" w:w="110"/>
              <w:bottom w:type="dxa" w:w="55"/>
              <w:right w:type="dxa" w:w="70"/>
            </w:tcMar>
          </w:tcPr>
          <w:p>
            <w:r>
              <w:rPr>
                <w:rFonts w:ascii="Georgia" w:cs="Georgia" w:eastAsia="Georgia" w:hAnsi="Georgia"/>
                <w:i/>
                <w:iCs/>
                <w:color w:val="4A5568"/>
                <w:sz w:val="18"/>
                <w:szCs w:val="18"/>
              </w:rPr>
              <w:t xml:space="preserve">Person 7org</w:t>
            </w:r>
          </w:p>
        </w:tc>
        <w:tc>
          <w:tcPr>
            <w:tcW w:type="dxa" w:w="2826"/>
            <w:tcBorders>
              <w:top w:val="single" w:color="DDDDDD" w:sz="1"/>
              <w:left w:val="single" w:color="DDDDDD" w:sz="1"/>
              <w:bottom w:val="single" w:color="DDDDDD" w:sz="1"/>
              <w:right w:val="single" w:color="DDDDDD" w:sz="1"/>
            </w:tcBorders>
            <w:shd w:fill="EAF5EE" w:val="clear"/>
            <w:tcMar>
              <w:top w:type="dxa" w:w="55"/>
              <w:left w:type="dxa" w:w="110"/>
              <w:bottom w:type="dxa" w:w="55"/>
              <w:right w:type="dxa" w:w="70"/>
            </w:tcMar>
          </w:tcPr>
          <w:p>
            <w:r>
              <w:rPr>
                <w:rFonts w:ascii="Arial" w:cs="Arial" w:eastAsia="Arial" w:hAnsi="Arial"/>
                <w:b/>
                <w:bCs/>
                <w:color w:val="1A5C4A"/>
                <w:sz w:val="16"/>
                <w:szCs w:val="16"/>
              </w:rPr>
              <w:t xml:space="preserve">● Built</w:t>
            </w:r>
          </w:p>
        </w:tc>
      </w:tr>
      <w:tr>
        <w:tc>
          <w:tcPr>
            <w:tcW w:type="dxa" w:w="700"/>
            <w:tcBorders>
              <w:top w:val="single" w:color="DDDDDD" w:sz="1"/>
              <w:left w:val="single" w:color="DDDDDD" w:sz="1"/>
              <w:bottom w:val="single" w:color="DDDDDD" w:sz="1"/>
              <w:right w:val="single" w:color="DDDDDD" w:sz="1"/>
            </w:tcBorders>
            <w:shd w:fill="1F3864" w:val="clear"/>
            <w:tcMar>
              <w:top w:type="dxa" w:w="55"/>
              <w:left w:type="dxa" w:w="100"/>
              <w:bottom w:type="dxa" w:w="55"/>
              <w:right w:type="dxa" w:w="60"/>
            </w:tcMar>
          </w:tcPr>
          <w:p>
            <w:pPr>
              <w:jc w:val="center"/>
            </w:pPr>
            <w:r>
              <w:rPr>
                <w:rFonts w:ascii="Arial" w:cs="Arial" w:eastAsia="Arial" w:hAnsi="Arial"/>
                <w:b/>
                <w:bCs/>
                <w:color w:val="FFFFFF"/>
                <w:sz w:val="16"/>
                <w:szCs w:val="16"/>
              </w:rPr>
              <w:t xml:space="preserve">SP-8</w:t>
            </w:r>
          </w:p>
        </w:tc>
        <w:tc>
          <w:tcPr>
            <w:tcW w:type="dxa" w:w="30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Arial" w:cs="Arial" w:eastAsia="Arial" w:hAnsi="Arial"/>
                <w:b/>
                <w:bCs/>
                <w:color w:val="1F3864"/>
                <w:sz w:val="17"/>
                <w:szCs w:val="17"/>
              </w:rPr>
              <w:t xml:space="preserve">Audit Over Accreditation</w:t>
            </w:r>
          </w:p>
        </w:tc>
        <w:tc>
          <w:tcPr>
            <w:tcW w:type="dxa" w:w="2500"/>
            <w:tcBorders>
              <w:top w:val="single" w:color="DDDDDD" w:sz="1"/>
              <w:left w:val="single" w:color="DDDDDD" w:sz="1"/>
              <w:bottom w:val="single" w:color="DDDDDD" w:sz="1"/>
              <w:right w:val="single" w:color="DDDDDD" w:sz="1"/>
            </w:tcBorders>
            <w:shd w:fill="F4F7FA" w:val="clear"/>
            <w:tcMar>
              <w:top w:type="dxa" w:w="55"/>
              <w:left w:type="dxa" w:w="110"/>
              <w:bottom w:type="dxa" w:w="55"/>
              <w:right w:type="dxa" w:w="70"/>
            </w:tcMar>
          </w:tcPr>
          <w:p>
            <w:r>
              <w:rPr>
                <w:rFonts w:ascii="Georgia" w:cs="Georgia" w:eastAsia="Georgia" w:hAnsi="Georgia"/>
                <w:i/>
                <w:iCs/>
                <w:color w:val="4A5568"/>
                <w:sz w:val="18"/>
                <w:szCs w:val="18"/>
              </w:rPr>
              <w:t xml:space="preserve">Person 7org</w:t>
            </w:r>
          </w:p>
        </w:tc>
        <w:tc>
          <w:tcPr>
            <w:tcW w:type="dxa" w:w="2826"/>
            <w:tcBorders>
              <w:top w:val="single" w:color="DDDDDD" w:sz="1"/>
              <w:left w:val="single" w:color="DDDDDD" w:sz="1"/>
              <w:bottom w:val="single" w:color="DDDDDD" w:sz="1"/>
              <w:right w:val="single" w:color="DDDDDD" w:sz="1"/>
            </w:tcBorders>
            <w:shd w:fill="FAF0EE" w:val="clear"/>
            <w:tcMar>
              <w:top w:type="dxa" w:w="55"/>
              <w:left w:type="dxa" w:w="110"/>
              <w:bottom w:type="dxa" w:w="55"/>
              <w:right w:type="dxa" w:w="70"/>
            </w:tcMar>
          </w:tcPr>
          <w:p>
            <w:r>
              <w:rPr>
                <w:rFonts w:ascii="Arial" w:cs="Arial" w:eastAsia="Arial" w:hAnsi="Arial"/>
                <w:b/>
                <w:bCs/>
                <w:color w:val="8B1A1A"/>
                <w:sz w:val="16"/>
                <w:szCs w:val="16"/>
              </w:rPr>
              <w:t xml:space="preserve">○ Gap — committed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none"/>
              <w:left w:val="none"/>
              <w:bottom w:val="none"/>
              <w:right w:val="none"/>
            </w:tcBorders>
            <w:shd w:fill="EAF5EE" w:val="clear"/>
            <w:tcMar>
              <w:top w:type="dxa" w:w="70"/>
              <w:left w:type="dxa" w:w="100"/>
              <w:bottom w:type="dxa" w:w="70"/>
              <w:right w:type="dxa" w:w="80"/>
            </w:tcMar>
          </w:tcPr>
          <w:p>
            <w:pPr>
              <w:jc w:val="both"/>
            </w:pPr>
            <w:r>
              <w:rPr>
                <w:rFonts w:ascii="Arial" w:cs="Arial" w:eastAsia="Arial" w:hAnsi="Arial"/>
                <w:b/>
                <w:bCs/>
                <w:color w:val="1A5C4A"/>
                <w:sz w:val="15"/>
                <w:szCs w:val="15"/>
              </w:rPr>
              <w:t xml:space="preserve">● Built — Explicitly designed and structurally anchored</w:t>
            </w:r>
          </w:p>
        </w:tc>
        <w:tc>
          <w:tcPr>
            <w:tcW w:type="dxa" w:w="2256"/>
            <w:tcBorders>
              <w:top w:val="none"/>
              <w:left w:val="none"/>
              <w:bottom w:val="none"/>
              <w:right w:val="none"/>
            </w:tcBorders>
            <w:shd w:fill="FDF6EC" w:val="clear"/>
            <w:tcMar>
              <w:top w:type="dxa" w:w="70"/>
              <w:left w:type="dxa" w:w="100"/>
              <w:bottom w:type="dxa" w:w="70"/>
              <w:right w:type="dxa" w:w="80"/>
            </w:tcMar>
          </w:tcPr>
          <w:p>
            <w:pPr>
              <w:jc w:val="both"/>
            </w:pPr>
            <w:r>
              <w:rPr>
                <w:rFonts w:ascii="Arial" w:cs="Arial" w:eastAsia="Arial" w:hAnsi="Arial"/>
                <w:b/>
                <w:bCs/>
                <w:color w:val="7A4A00"/>
                <w:sz w:val="15"/>
                <w:szCs w:val="15"/>
              </w:rPr>
              <w:t xml:space="preserve">◑ Partial — Present in intention, not yet fully operationalised</w:t>
            </w:r>
          </w:p>
        </w:tc>
        <w:tc>
          <w:tcPr>
            <w:tcW w:type="dxa" w:w="2256"/>
            <w:tcBorders>
              <w:top w:val="none"/>
              <w:left w:val="none"/>
              <w:bottom w:val="none"/>
              <w:right w:val="none"/>
            </w:tcBorders>
            <w:shd w:fill="FAF0EE" w:val="clear"/>
            <w:tcMar>
              <w:top w:type="dxa" w:w="70"/>
              <w:left w:type="dxa" w:w="100"/>
              <w:bottom w:type="dxa" w:w="70"/>
              <w:right w:type="dxa" w:w="80"/>
            </w:tcMar>
          </w:tcPr>
          <w:p>
            <w:pPr>
              <w:jc w:val="both"/>
            </w:pPr>
            <w:r>
              <w:rPr>
                <w:rFonts w:ascii="Arial" w:cs="Arial" w:eastAsia="Arial" w:hAnsi="Arial"/>
                <w:b/>
                <w:bCs/>
                <w:color w:val="8B1A1A"/>
                <w:sz w:val="15"/>
                <w:szCs w:val="15"/>
              </w:rPr>
              <w:t xml:space="preserve">○ Gap — committed — Absent; specific action committed</w:t>
            </w:r>
          </w:p>
        </w:tc>
        <w:tc>
          <w:tcPr>
            <w:tcW w:type="dxa" w:w="2256"/>
            <w:tcBorders>
              <w:top w:val="none"/>
              <w:left w:val="none"/>
              <w:bottom w:val="none"/>
              <w:right w:val="none"/>
            </w:tcBorders>
            <w:shd w:fill="EEF4FB" w:val="clear"/>
            <w:tcMar>
              <w:top w:type="dxa" w:w="70"/>
              <w:left w:type="dxa" w:w="100"/>
              <w:bottom w:type="dxa" w:w="70"/>
              <w:right w:type="dxa" w:w="80"/>
            </w:tcMar>
          </w:tcPr>
          <w:p>
            <w:pPr>
              <w:jc w:val="both"/>
            </w:pPr>
            <w:r>
              <w:rPr>
                <w:rFonts w:ascii="Arial" w:cs="Arial" w:eastAsia="Arial" w:hAnsi="Arial"/>
                <w:b/>
                <w:bCs/>
                <w:color w:val="2E75B6"/>
                <w:sz w:val="15"/>
                <w:szCs w:val="15"/>
              </w:rPr>
              <w:t xml:space="preserve">○ Deferred — Deliberately not built in Phase 1</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II.  The Signature by Source</w:t>
      </w:r>
    </w:p>
    <w:p>
      <w:pPr>
        <w:spacing w:after="80" w:before="0"/>
        <w:jc w:val="both"/>
      </w:pPr>
      <w:r>
        <w:rPr>
          <w:rFonts w:ascii="Georgia" w:cs="Georgia" w:eastAsia="Georgia" w:hAnsi="Georgia"/>
          <w:b w:val="false"/>
          <w:bCs w:val="false"/>
          <w:i w:val="false"/>
          <w:iCs w:val="false"/>
          <w:color w:val="1A1A1A"/>
          <w:sz w:val="23"/>
          <w:szCs w:val="23"/>
        </w:rPr>
        <w:t xml:space="preserve">The following entries present each principle with its three-column signature: what has been built, what has been deferred, and what the institution commits to becoming. P1–LP-6 entries are unchanged from the first edition. CP-1–SP-8 entries are new.</w:t>
      </w:r>
    </w:p>
    <w:p>
      <w:pPr>
        <w:pStyle w:val="Heading2"/>
        <w:spacing w:after="90" w:before="280"/>
      </w:pPr>
      <w:r>
        <w:rPr>
          <w:rFonts w:ascii="Georgia" w:cs="Georgia" w:eastAsia="Georgia" w:hAnsi="Georgia"/>
          <w:b/>
          <w:bCs/>
          <w:color w:val="0D1F3C"/>
          <w:sz w:val="24"/>
          <w:szCs w:val="24"/>
        </w:rPr>
        <w:t xml:space="preserve">Expert Dialogues — Person 1 and Person 2</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P1  ·  </w:t>
            </w:r>
            <w:r>
              <w:rPr>
                <w:rFonts w:ascii="Georgia" w:cs="Georgia" w:eastAsia="Georgia" w:hAnsi="Georgia"/>
                <w:b/>
                <w:bCs/>
                <w:color w:val="FFFFFF"/>
                <w:sz w:val="21"/>
                <w:szCs w:val="21"/>
              </w:rPr>
              <w:t xml:space="preserve">Layered System Alignment</w:t>
            </w:r>
            <w:r>
              <w:rPr>
                <w:rFonts w:ascii="Arial" w:cs="Arial" w:eastAsia="Arial" w:hAnsi="Arial"/>
                <w:i/>
                <w:iCs/>
                <w:color w:val="8899BB"/>
                <w:sz w:val="14"/>
                <w:szCs w:val="14"/>
              </w:rPr>
              <w:t xml:space="preserve">  ·  Person 1 &amp; 2</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G1–G4 four-layer governance architecture is constitutionally specified with explicit domain boundaries and the constitutional insulation of G3 from G2 financial pressure. The Portfolio Governance Framework routes decisions through appropriate layers by institutional reach.</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 governance health review mechanism — periodic check of whether layer boundaries are being respected in practice — has not yet been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the first governance cycle: specify a bi-annual layer boundary audit as a standing G1 agenda item, with a named reviewer and a defined consequence when boundary violations are found.</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P2  ·  </w:t>
            </w:r>
            <w:r>
              <w:rPr>
                <w:rFonts w:ascii="Georgia" w:cs="Georgia" w:eastAsia="Georgia" w:hAnsi="Georgia"/>
                <w:b/>
                <w:bCs/>
                <w:color w:val="FFFFFF"/>
                <w:sz w:val="21"/>
                <w:szCs w:val="21"/>
              </w:rPr>
              <w:t xml:space="preserve">Distributed &amp; Staged Decision-Making</w:t>
            </w:r>
            <w:r>
              <w:rPr>
                <w:rFonts w:ascii="Arial" w:cs="Arial" w:eastAsia="Arial" w:hAnsi="Arial"/>
                <w:i/>
                <w:iCs/>
                <w:color w:val="8899BB"/>
                <w:sz w:val="14"/>
                <w:szCs w:val="14"/>
              </w:rPr>
              <w:t xml:space="preserve">  ·  Person 1 &amp; 2</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prepared decision model is explicit: committees prepare, coordination aligns, executive synthesises, G3 decides on academic matters, G1 validates where required. No single person can take a binding decision unilaterally in any domain.</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 lightweight fast-track procedure for G4-level decisions where the staged process is too slow for operational pace has not been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operational phase: specify a time-bounded fast-track escalation protocol for G4 decisions, with automatic G3 notification and a defined review window.</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P3  ·  </w:t>
            </w:r>
            <w:r>
              <w:rPr>
                <w:rFonts w:ascii="Georgia" w:cs="Georgia" w:eastAsia="Georgia" w:hAnsi="Georgia"/>
                <w:b/>
                <w:bCs/>
                <w:color w:val="FFFFFF"/>
                <w:sz w:val="21"/>
                <w:szCs w:val="21"/>
              </w:rPr>
              <w:t xml:space="preserve">Collegial Governance</w:t>
            </w:r>
            <w:r>
              <w:rPr>
                <w:rFonts w:ascii="Arial" w:cs="Arial" w:eastAsia="Arial" w:hAnsi="Arial"/>
                <w:i/>
                <w:iCs/>
                <w:color w:val="8899BB"/>
                <w:sz w:val="14"/>
                <w:szCs w:val="14"/>
              </w:rPr>
              <w:t xml:space="preserve">  ·  Person 1 &amp; 2</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Academic Community Charter commits to collegial governance with genuine student and academic contributor voting rights in the Senate. G3 independence structurally prevents top-down domination of academic decisions.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mechanisms that sustain collegial culture against institutional pressure — specifically what happens when efficiency arguments are used to bypass collegial process — are not yet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Senate convening: specify a collegial governance protection protocol — the conditions under which an efficiency claim can legitimately shorten consultation, and those under which it cannot.</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P4  ·  </w:t>
            </w:r>
            <w:r>
              <w:rPr>
                <w:rFonts w:ascii="Georgia" w:cs="Georgia" w:eastAsia="Georgia" w:hAnsi="Georgia"/>
                <w:b/>
                <w:bCs/>
                <w:color w:val="FFFFFF"/>
                <w:sz w:val="21"/>
                <w:szCs w:val="21"/>
              </w:rPr>
              <w:t xml:space="preserve">Participatory Strategy Formation</w:t>
            </w:r>
            <w:r>
              <w:rPr>
                <w:rFonts w:ascii="Arial" w:cs="Arial" w:eastAsia="Arial" w:hAnsi="Arial"/>
                <w:i/>
                <w:iCs/>
                <w:color w:val="8899BB"/>
                <w:sz w:val="14"/>
                <w:szCs w:val="14"/>
              </w:rPr>
              <w:t xml:space="preserve">  ·  Person 1 &amp; 2</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Strategy Formation Protocol specifies an 18-month cycle, a harvesting threshold, and explicit prohibition of top-down predetermination. Mission Hub contributors participate from the earliest phases.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first strategy cycle has not yet been completed. Participatory design in documents differs from participatory practice in operation.</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Document the first strategy cycle — its actual participation rate, degree to which practitioner input shaped the final strategy, and any gaps between designed process and lived experience — as institutional learning for cycle two.</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P5  ·  </w:t>
            </w:r>
            <w:r>
              <w:rPr>
                <w:rFonts w:ascii="Georgia" w:cs="Georgia" w:eastAsia="Georgia" w:hAnsi="Georgia"/>
                <w:b/>
                <w:bCs/>
                <w:color w:val="FFFFFF"/>
                <w:sz w:val="21"/>
                <w:szCs w:val="21"/>
              </w:rPr>
              <w:t xml:space="preserve">Strategic Clarity and Feasibility</w:t>
            </w:r>
            <w:r>
              <w:rPr>
                <w:rFonts w:ascii="Arial" w:cs="Arial" w:eastAsia="Arial" w:hAnsi="Arial"/>
                <w:i/>
                <w:iCs/>
                <w:color w:val="8899BB"/>
                <w:sz w:val="14"/>
                <w:szCs w:val="14"/>
              </w:rPr>
              <w:t xml:space="preserve">  ·  Person 1 &amp; 2</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OKR Framework specifies a manageable set of institutional goals with explicit feasibility assessment requirements. The Bug Protocol assigns accountability for underperformance. The Strategic Reserve provides resource flexibility.</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OKR set for the founding phase has not yet been finalised against operational reality.</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At end of founding year: conduct a strategic clarity audit — are the OKRs measurable, are they being measured, and are the results being used for adaptive decisions rather than performance theatre?</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P6  ·  </w:t>
            </w:r>
            <w:r>
              <w:rPr>
                <w:rFonts w:ascii="Georgia" w:cs="Georgia" w:eastAsia="Georgia" w:hAnsi="Georgia"/>
                <w:b/>
                <w:bCs/>
                <w:color w:val="FFFFFF"/>
                <w:sz w:val="21"/>
                <w:szCs w:val="21"/>
              </w:rPr>
              <w:t xml:space="preserve">Continuous Feedback &amp; Adaptive Execution</w:t>
            </w:r>
            <w:r>
              <w:rPr>
                <w:rFonts w:ascii="Arial" w:cs="Arial" w:eastAsia="Arial" w:hAnsi="Arial"/>
                <w:i/>
                <w:iCs/>
                <w:color w:val="8899BB"/>
                <w:sz w:val="14"/>
                <w:szCs w:val="14"/>
              </w:rPr>
              <w:t xml:space="preserve">  ·  Person 1 &amp; 2</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OKR Framework specifies quarterly review cycles. The platform's learning analytics infrastructure (Milestone 7) is designed to generate continuous feedback. The three-layer Partnership Crossing Point provides operational intelligence between Stichprobe cycles.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In the founding phase, before the platform reaches Milestone 7, the continuous feedback mechanism is partial.</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Specify a founding-phase feedback proxy: what manual intelligence-gathering will substitute for platform analytics before Milestone 7 is live? Name the mechanism, the frequency, and the person responsible.</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P7  ·  </w:t>
            </w:r>
            <w:r>
              <w:rPr>
                <w:rFonts w:ascii="Georgia" w:cs="Georgia" w:eastAsia="Georgia" w:hAnsi="Georgia"/>
                <w:b/>
                <w:bCs/>
                <w:color w:val="FFFFFF"/>
                <w:sz w:val="21"/>
                <w:szCs w:val="21"/>
              </w:rPr>
              <w:t xml:space="preserve">Transformation-Oriented Performance</w:t>
            </w:r>
            <w:r>
              <w:rPr>
                <w:rFonts w:ascii="Arial" w:cs="Arial" w:eastAsia="Arial" w:hAnsi="Arial"/>
                <w:i/>
                <w:iCs/>
                <w:color w:val="8899BB"/>
                <w:sz w:val="14"/>
                <w:szCs w:val="14"/>
              </w:rPr>
              <w:t xml:space="preserve">  ·  Person 1 &amp; 2</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OKR Framework explicitly rejects KPI-only management and specifies progression-oriented objectives. The Bug Protocol treats underperformance as a system signal requiring design response, not individual blame. G1's annual strategic review asks whether the institution has progressed, not merely maintained.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cultural practice of using OKRs for genuine learning rather than performance reporting is not yet established — the institution has not yet operated.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In year two: publish an honest internal account of the first OKR cycle — what was achieved, what was not, and what the institution learned.</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P8  ·  </w:t>
            </w:r>
            <w:r>
              <w:rPr>
                <w:rFonts w:ascii="Georgia" w:cs="Georgia" w:eastAsia="Georgia" w:hAnsi="Georgia"/>
                <w:b/>
                <w:bCs/>
                <w:color w:val="FFFFFF"/>
                <w:sz w:val="21"/>
                <w:szCs w:val="21"/>
              </w:rPr>
              <w:t xml:space="preserve">Committees as Distributed Intelligence</w:t>
            </w:r>
            <w:r>
              <w:rPr>
                <w:rFonts w:ascii="Arial" w:cs="Arial" w:eastAsia="Arial" w:hAnsi="Arial"/>
                <w:i/>
                <w:iCs/>
                <w:color w:val="8899BB"/>
                <w:sz w:val="14"/>
                <w:szCs w:val="14"/>
              </w:rPr>
              <w:t xml:space="preserve">  ·  Person 1 &amp; 2</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governance architecture specifies functional committees with domain expertise requirements — not status-based composition. The Quality Commission, Mission Hub Steering Groups, and Senate committees are defined by what they know, not who they are.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committees have been designed but not yet populated.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committee appointments: publish the competency criteria for each committee alongside the appointment process. Make the criteria — not the names — the public record.</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P9  ·  </w:t>
            </w:r>
            <w:r>
              <w:rPr>
                <w:rFonts w:ascii="Georgia" w:cs="Georgia" w:eastAsia="Georgia" w:hAnsi="Georgia"/>
                <w:b/>
                <w:bCs/>
                <w:color w:val="FFFFFF"/>
                <w:sz w:val="21"/>
                <w:szCs w:val="21"/>
              </w:rPr>
              <w:t xml:space="preserve">Role Clarity and Mandate Transparency</w:t>
            </w:r>
            <w:r>
              <w:rPr>
                <w:rFonts w:ascii="Arial" w:cs="Arial" w:eastAsia="Arial" w:hAnsi="Arial"/>
                <w:i/>
                <w:iCs/>
                <w:color w:val="8899BB"/>
                <w:sz w:val="14"/>
                <w:szCs w:val="14"/>
              </w:rPr>
              <w:t xml:space="preserve">  ·  Person 1 &amp; 2</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Leadership and Stewardship Profiles define roles with explicit competency requirements and governance layer assignments. Term limits and return pathways are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Exclusion Lists, Proactive Capacity thresholds, and scope review triggers are specified in the Gap Closure document but not yet integrated into the Profiles themselves.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roles are filled: update all Leadership and Stewardship Profiles to include Exclusion Lists, Proactive Capacity thresholds, and scope review triggers. The Profile is the governance document; the Gap Closure decisions belong inside it.</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P10  ·  </w:t>
            </w:r>
            <w:r>
              <w:rPr>
                <w:rFonts w:ascii="Georgia" w:cs="Georgia" w:eastAsia="Georgia" w:hAnsi="Georgia"/>
                <w:b/>
                <w:bCs/>
                <w:color w:val="FFFFFF"/>
                <w:sz w:val="21"/>
                <w:szCs w:val="21"/>
              </w:rPr>
              <w:t xml:space="preserve">Checks and Balances</w:t>
            </w:r>
            <w:r>
              <w:rPr>
                <w:rFonts w:ascii="Arial" w:cs="Arial" w:eastAsia="Arial" w:hAnsi="Arial"/>
                <w:i/>
                <w:iCs/>
                <w:color w:val="8899BB"/>
                <w:sz w:val="14"/>
                <w:szCs w:val="14"/>
              </w:rPr>
              <w:t xml:space="preserve">  ·  Person 1 &amp; 2</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G1 appointment authority, G3 constitutional insulation, Senate veto on academic standards, Quality Commission independence from G2, and the Partner Compliance architecture together form a multi-layer system in which no single actor controls outcomes across all domains.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conflict resolution protocol — what happens when G2 and G3 first genuinely disagree — has not yet been tested.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After the first G2/G3 boundary dispute: document the resolution process and publish the institutional learning as a governance precedent.</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P11  ·  </w:t>
            </w:r>
            <w:r>
              <w:rPr>
                <w:rFonts w:ascii="Georgia" w:cs="Georgia" w:eastAsia="Georgia" w:hAnsi="Georgia"/>
                <w:b/>
                <w:bCs/>
                <w:color w:val="FFFFFF"/>
                <w:sz w:val="21"/>
                <w:szCs w:val="21"/>
              </w:rPr>
              <w:t xml:space="preserve">Professionalisation of Leadership</w:t>
            </w:r>
            <w:r>
              <w:rPr>
                <w:rFonts w:ascii="Arial" w:cs="Arial" w:eastAsia="Arial" w:hAnsi="Arial"/>
                <w:i/>
                <w:iCs/>
                <w:color w:val="8899BB"/>
                <w:sz w:val="14"/>
                <w:szCs w:val="14"/>
              </w:rPr>
              <w:t xml:space="preserve">  ·  Person 1 &amp; 2</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Leadership Development and Induction Framework specifies competency-based development for all governance roles. Leadership is explicitly defined as a learnable, bounded, temporal role — not a status or a reward for academic excellence.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development programme has been designed but not yet delivered.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After first leadership induction cycle: assess whether the programme produced measurable change in governance practice, not just completion of training hours. Adjust based on the assessment.</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P12  ·  </w:t>
            </w:r>
            <w:r>
              <w:rPr>
                <w:rFonts w:ascii="Georgia" w:cs="Georgia" w:eastAsia="Georgia" w:hAnsi="Georgia"/>
                <w:b/>
                <w:bCs/>
                <w:color w:val="FFFFFF"/>
                <w:sz w:val="21"/>
                <w:szCs w:val="21"/>
              </w:rPr>
              <w:t xml:space="preserve">University as Socially Embedded Institution</w:t>
            </w:r>
            <w:r>
              <w:rPr>
                <w:rFonts w:ascii="Arial" w:cs="Arial" w:eastAsia="Arial" w:hAnsi="Arial"/>
                <w:i/>
                <w:iCs/>
                <w:color w:val="8899BB"/>
                <w:sz w:val="14"/>
                <w:szCs w:val="14"/>
              </w:rPr>
              <w:t xml:space="preserve">  ·  Person 1 &amp; 2</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OUG's founding purpose — serving working adults, caregivers, and geographically excluded learners at €25 per ECTS — is a direct institutional response to a specific social condition. The Mission Hub model organises contributors around societal challenges.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mechanisms for governance responsiveness to societal change — how the institution revises its mission when the social conditions that justified it change — have not been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Every three years: conduct a Mission Alignment Review at G1 level. Does the institution's current design still address the social conditions that justified its founding? Publish the findings.</w:t>
                  </w:r>
                </w:p>
              </w:tc>
            </w:tr>
          </w:tbl>
          <w:p/>
        </w:tc>
      </w:tr>
    </w:tbl>
    <w:p>
      <w:pPr>
        <w:spacing w:after="80" w:before="0"/>
      </w:pPr>
    </w:p>
    <w:p>
      <w:pPr>
        <w:pStyle w:val="Heading2"/>
        <w:spacing w:after="90" w:before="280"/>
      </w:pPr>
      <w:r>
        <w:rPr>
          <w:rFonts w:ascii="Georgia" w:cs="Georgia" w:eastAsia="Georgia" w:hAnsi="Georgia"/>
          <w:b/>
          <w:bCs/>
          <w:color w:val="0D1F3C"/>
          <w:sz w:val="24"/>
          <w:szCs w:val="24"/>
        </w:rPr>
        <w:t xml:space="preserve">HEI Observation Principles — HP-1 through HP-8</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HP-1  ·  </w:t>
            </w:r>
            <w:r>
              <w:rPr>
                <w:rFonts w:ascii="Georgia" w:cs="Georgia" w:eastAsia="Georgia" w:hAnsi="Georgia"/>
                <w:b/>
                <w:bCs/>
                <w:color w:val="FFFFFF"/>
                <w:sz w:val="21"/>
                <w:szCs w:val="21"/>
              </w:rPr>
              <w:t xml:space="preserve">The Legible Law</w:t>
            </w:r>
            <w:r>
              <w:rPr>
                <w:rFonts w:ascii="Arial" w:cs="Arial" w:eastAsia="Arial" w:hAnsi="Arial"/>
                <w:i/>
                <w:iCs/>
                <w:color w:val="8899BB"/>
                <w:sz w:val="14"/>
                <w:szCs w:val="14"/>
              </w:rPr>
              <w:t xml:space="preserve">  ·  HEI Observations</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Several OUG documents distinguish between statutory requirement and institutional choice. The Readers' Guide for Accreditation explicitly addresses which OUG features require legislative support. The Gap Closure document includes a preliminary Governance Compliance Map.</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Governance Compliance Map is not yet a standing governance instrument with a defined review cycle.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staff cohort: integrate the Governance Compliance Map into the annual governance calendar as a standing review item assigned to the Rector.</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HP-2  ·  </w:t>
            </w:r>
            <w:r>
              <w:rPr>
                <w:rFonts w:ascii="Georgia" w:cs="Georgia" w:eastAsia="Georgia" w:hAnsi="Georgia"/>
                <w:b/>
                <w:bCs/>
                <w:color w:val="FFFFFF"/>
                <w:sz w:val="21"/>
                <w:szCs w:val="21"/>
              </w:rPr>
              <w:t xml:space="preserve">The Living Mandate</w:t>
            </w:r>
            <w:r>
              <w:rPr>
                <w:rFonts w:ascii="Arial" w:cs="Arial" w:eastAsia="Arial" w:hAnsi="Arial"/>
                <w:i/>
                <w:iCs/>
                <w:color w:val="8899BB"/>
                <w:sz w:val="14"/>
                <w:szCs w:val="14"/>
              </w:rPr>
              <w:t xml:space="preserve">  ·  HEI Observations</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 was designed for the person the 1973 ruling did not imagine. Every structural feature — fully online, modular, asynchronous-first, €25 per ECTS, Europass credentials per module — is a direct response to the lifelong learner the existing legal framework still does not recognise as its primary subject.</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Nothing material is deferred here. The Living Mandate is the founding premise.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In every external communication and accreditation submission: name the target learner explicitly. Resist the language drift that substitutes 'student' for 'working adult caregiver navigating education in fragments across a career'.</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HP-3  ·  </w:t>
            </w:r>
            <w:r>
              <w:rPr>
                <w:rFonts w:ascii="Georgia" w:cs="Georgia" w:eastAsia="Georgia" w:hAnsi="Georgia"/>
                <w:b/>
                <w:bCs/>
                <w:color w:val="FFFFFF"/>
                <w:sz w:val="21"/>
                <w:szCs w:val="21"/>
              </w:rPr>
              <w:t xml:space="preserve">The Aligned Authority</w:t>
            </w:r>
            <w:r>
              <w:rPr>
                <w:rFonts w:ascii="Arial" w:cs="Arial" w:eastAsia="Arial" w:hAnsi="Arial"/>
                <w:i/>
                <w:iCs/>
                <w:color w:val="8899BB"/>
                <w:sz w:val="14"/>
                <w:szCs w:val="14"/>
              </w:rPr>
              <w:t xml:space="preserve">  ·  HEI Observations</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Every governance body has a single, consistent authority classification — Decision Body, Consent Body, or Advisory Body — specified in the Governance Architecture. No body is formally advisory but structurally decisive.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Authority alignment has been designed for OUG-internal governance. Authority structures of partner institutions and how they interact with the OUG map have not yet been specified in the partnership agreement template.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partner onboarding: add minimum authority alignment requirements to the partnership agreement template.</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HP-4  ·  </w:t>
            </w:r>
            <w:r>
              <w:rPr>
                <w:rFonts w:ascii="Georgia" w:cs="Georgia" w:eastAsia="Georgia" w:hAnsi="Georgia"/>
                <w:b/>
                <w:bCs/>
                <w:color w:val="FFFFFF"/>
                <w:sz w:val="21"/>
                <w:szCs w:val="21"/>
              </w:rPr>
              <w:t xml:space="preserve">The Bounded Role</w:t>
            </w:r>
            <w:r>
              <w:rPr>
                <w:rFonts w:ascii="Arial" w:cs="Arial" w:eastAsia="Arial" w:hAnsi="Arial"/>
                <w:i/>
                <w:iCs/>
                <w:color w:val="8899BB"/>
                <w:sz w:val="14"/>
                <w:szCs w:val="14"/>
              </w:rPr>
              <w:t xml:space="preserve">  ·  HEI Observations</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Leadership and Stewardship Profiles define strategic scope, governance layer, competency requirements, and term limits for all governance roles.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Exclusion Lists, Proactive Capacity thresholds, and scope review triggers have been designed in the Gap Closure document but not yet integrated into the Profiles.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roles are filled: integrate all three features into all Profiles. Role accumulation begins on day one.</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HP-5  ·  </w:t>
            </w:r>
            <w:r>
              <w:rPr>
                <w:rFonts w:ascii="Georgia" w:cs="Georgia" w:eastAsia="Georgia" w:hAnsi="Georgia"/>
                <w:b/>
                <w:bCs/>
                <w:color w:val="FFFFFF"/>
                <w:sz w:val="21"/>
                <w:szCs w:val="21"/>
              </w:rPr>
              <w:t xml:space="preserve">The Protected Strategy</w:t>
            </w:r>
            <w:r>
              <w:rPr>
                <w:rFonts w:ascii="Arial" w:cs="Arial" w:eastAsia="Arial" w:hAnsi="Arial"/>
                <w:i/>
                <w:iCs/>
                <w:color w:val="8899BB"/>
                <w:sz w:val="14"/>
                <w:szCs w:val="14"/>
              </w:rPr>
              <w:t xml:space="preserve">  ·  HEI Observations</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Strategy Formation Protocol prohibits conflating operational coordination with strategic governance. Four strategic forums are designated with protected agenda rules.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protected agenda rules exist in the Gap Closure document but not yet as standing orders of the designated forums.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strategic forum convenes: adopt protected agenda rules as standing orders for all four designated forums.</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HP-6  ·  </w:t>
            </w:r>
            <w:r>
              <w:rPr>
                <w:rFonts w:ascii="Georgia" w:cs="Georgia" w:eastAsia="Georgia" w:hAnsi="Georgia"/>
                <w:b/>
                <w:bCs/>
                <w:color w:val="FFFFFF"/>
                <w:sz w:val="21"/>
                <w:szCs w:val="21"/>
              </w:rPr>
              <w:t xml:space="preserve">The Designed Incentive</w:t>
            </w:r>
            <w:r>
              <w:rPr>
                <w:rFonts w:ascii="Arial" w:cs="Arial" w:eastAsia="Arial" w:hAnsi="Arial"/>
                <w:i/>
                <w:iCs/>
                <w:color w:val="8899BB"/>
                <w:sz w:val="14"/>
                <w:szCs w:val="14"/>
              </w:rPr>
              <w:t xml:space="preserve">  ·  HEI Observations</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OUG's structural design removes the primary conditions that produce the Year-End Flush. No campus, no block grant absorption pressure in the current model, ECTS-based contributor payment aligned with delivery.</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When public block grant funding arrives, the structural incentive to consume before year-end will operate unless carryforward provisions are in place from the start.</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HFV funding agreement: design carryforward provisions and Strategic Reserve mechanics into the agreement.</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HP-7  ·  </w:t>
            </w:r>
            <w:r>
              <w:rPr>
                <w:rFonts w:ascii="Georgia" w:cs="Georgia" w:eastAsia="Georgia" w:hAnsi="Georgia"/>
                <w:b/>
                <w:bCs/>
                <w:color w:val="FFFFFF"/>
                <w:sz w:val="21"/>
                <w:szCs w:val="21"/>
              </w:rPr>
              <w:t xml:space="preserve">The Designed Task</w:t>
            </w:r>
            <w:r>
              <w:rPr>
                <w:rFonts w:ascii="Arial" w:cs="Arial" w:eastAsia="Arial" w:hAnsi="Arial"/>
                <w:i/>
                <w:iCs/>
                <w:color w:val="8899BB"/>
                <w:sz w:val="14"/>
                <w:szCs w:val="14"/>
              </w:rPr>
              <w:t xml:space="preserve">  ·  HEI Observations</w:t>
            </w:r>
            <w:r>
              <w:rPr>
                <w:rFonts w:ascii="Arial" w:cs="Arial" w:eastAsia="Arial" w:hAnsi="Arial"/>
                <w:b/>
                <w:bCs/>
                <w:color w:val="FFAAAA"/>
                <w:sz w:val="15"/>
                <w:szCs w:val="15"/>
              </w:rPr>
              <w:t xml:space="preserve">    ○ Gap — committed</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Leadership and Stewardship Profiles address governance-level task assignment. The three-column OUG/Partner/Joint task split in the Gap Closure document provides a framework for operational task architecture.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 formal Task Architecture as a standalone governance document integrated into the partnership agreement as a required annex does not yet exist.</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partner onboarding: produce the Task Architecture as a governance document. This is the Critical Gap from the first stress test — it must be closed before tasks begin arriving by proximity.</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HP-8  ·  </w:t>
            </w:r>
            <w:r>
              <w:rPr>
                <w:rFonts w:ascii="Georgia" w:cs="Georgia" w:eastAsia="Georgia" w:hAnsi="Georgia"/>
                <w:b/>
                <w:bCs/>
                <w:color w:val="FFFFFF"/>
                <w:sz w:val="21"/>
                <w:szCs w:val="21"/>
              </w:rPr>
              <w:t xml:space="preserve">The Structured Crossing</w:t>
            </w:r>
            <w:r>
              <w:rPr>
                <w:rFonts w:ascii="Arial" w:cs="Arial" w:eastAsia="Arial" w:hAnsi="Arial"/>
                <w:i/>
                <w:iCs/>
                <w:color w:val="8899BB"/>
                <w:sz w:val="14"/>
                <w:szCs w:val="14"/>
              </w:rPr>
              <w:t xml:space="preserve">  ·  HEI Observations</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Students have Senate voting rights. The Stichprobe is a designed annual crossing. The three-layer crossing architecture is specified in the Gap Closure document.</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Partnership Office's role as a continuous intelligence Crossing Point has not yet been operationally specified as a standing procedure.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operational year: specify the Partnership Office's intelligence function with named metrics, defined frequencies, and a documented escalation path to the Quality Commission.</w:t>
                  </w:r>
                </w:p>
              </w:tc>
            </w:tr>
          </w:tbl>
          <w:p/>
        </w:tc>
      </w:tr>
    </w:tbl>
    <w:p>
      <w:pPr>
        <w:spacing w:after="80" w:before="0"/>
      </w:pPr>
    </w:p>
    <w:p>
      <w:pPr>
        <w:pStyle w:val="Heading2"/>
        <w:spacing w:after="90" w:before="280"/>
      </w:pPr>
      <w:r>
        <w:rPr>
          <w:rFonts w:ascii="Georgia" w:cs="Georgia" w:eastAsia="Georgia" w:hAnsi="Georgia"/>
          <w:b/>
          <w:bCs/>
          <w:color w:val="0D1F3C"/>
          <w:sz w:val="24"/>
          <w:szCs w:val="24"/>
        </w:rPr>
        <w:t xml:space="preserve">Person Learn8 — The Learner Perspective</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LP-1  ·  </w:t>
            </w:r>
            <w:r>
              <w:rPr>
                <w:rFonts w:ascii="Georgia" w:cs="Georgia" w:eastAsia="Georgia" w:hAnsi="Georgia"/>
                <w:b/>
                <w:bCs/>
                <w:color w:val="FFFFFF"/>
                <w:sz w:val="21"/>
                <w:szCs w:val="21"/>
              </w:rPr>
              <w:t xml:space="preserve">The Designed Profile</w:t>
            </w:r>
            <w:r>
              <w:rPr>
                <w:rFonts w:ascii="Arial" w:cs="Arial" w:eastAsia="Arial" w:hAnsi="Arial"/>
                <w:i/>
                <w:iCs/>
                <w:color w:val="8899BB"/>
                <w:sz w:val="14"/>
                <w:szCs w:val="14"/>
              </w:rPr>
              <w:t xml:space="preserve">  ·  Person Learn8</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OUG's founding documents explicitly name target learner profiles: working adults, caregivers, geographically excluded, career reorienting. The programme design and pricing reflect these profiles as primary subjects.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 formal Learner Profile Map as a governance instrument that serves as a design input to programme review does not yet exist.</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programme review: produce a Learner Profile Map and integrate it as a required input to all programme design and review decisions.</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LP-2  ·  </w:t>
            </w:r>
            <w:r>
              <w:rPr>
                <w:rFonts w:ascii="Georgia" w:cs="Georgia" w:eastAsia="Georgia" w:hAnsi="Georgia"/>
                <w:b/>
                <w:bCs/>
                <w:color w:val="FFFFFF"/>
                <w:sz w:val="21"/>
                <w:szCs w:val="21"/>
              </w:rPr>
              <w:t xml:space="preserve">The Coherent Path</w:t>
            </w:r>
            <w:r>
              <w:rPr>
                <w:rFonts w:ascii="Arial" w:cs="Arial" w:eastAsia="Arial" w:hAnsi="Arial"/>
                <w:i/>
                <w:iCs/>
                <w:color w:val="8899BB"/>
                <w:sz w:val="14"/>
                <w:szCs w:val="14"/>
              </w:rPr>
              <w:t xml:space="preserve">  ·  Person Learn8</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platform architecture is designed around a growing Competency Profile. The stackable credential design (Europass per module) is the structural expression of the red thread. ESCO alignment provides external competency vocabulary.</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platform's Competency Profile function is a planned milestone, not yet live.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Specify a founding-phase orientation proxy: what structured advising process substitutes for the automated Competency Profile before it is live?</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LP-3  ·  </w:t>
            </w:r>
            <w:r>
              <w:rPr>
                <w:rFonts w:ascii="Georgia" w:cs="Georgia" w:eastAsia="Georgia" w:hAnsi="Georgia"/>
                <w:b/>
                <w:bCs/>
                <w:color w:val="FFFFFF"/>
                <w:sz w:val="21"/>
                <w:szCs w:val="21"/>
              </w:rPr>
              <w:t xml:space="preserve">The Visible Development</w:t>
            </w:r>
            <w:r>
              <w:rPr>
                <w:rFonts w:ascii="Arial" w:cs="Arial" w:eastAsia="Arial" w:hAnsi="Arial"/>
                <w:i/>
                <w:iCs/>
                <w:color w:val="8899BB"/>
                <w:sz w:val="14"/>
                <w:szCs w:val="14"/>
              </w:rPr>
              <w:t xml:space="preserve">  ·  Person Learn8</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Europass Digital Credentials are issued per completed module. Partial completion has credential value from day one.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credential issuance process is architecturally designed but operationally dependent on Europass infrastructure integration.</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module completions: complete and test the Europass credential issuance integration. The first learner who completes the first module must receive their credential automatically.</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LP-4  ·  </w:t>
            </w:r>
            <w:r>
              <w:rPr>
                <w:rFonts w:ascii="Georgia" w:cs="Georgia" w:eastAsia="Georgia" w:hAnsi="Georgia"/>
                <w:b/>
                <w:bCs/>
                <w:color w:val="FFFFFF"/>
                <w:sz w:val="21"/>
                <w:szCs w:val="21"/>
              </w:rPr>
              <w:t xml:space="preserve">The Active Member</w:t>
            </w:r>
            <w:r>
              <w:rPr>
                <w:rFonts w:ascii="Arial" w:cs="Arial" w:eastAsia="Arial" w:hAnsi="Arial"/>
                <w:i/>
                <w:iCs/>
                <w:color w:val="8899BB"/>
                <w:sz w:val="14"/>
                <w:szCs w:val="14"/>
              </w:rPr>
              <w:t xml:space="preserve">  ·  Person Learn8</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Students hold Senate voting rights. The Academic Community Charter specifies asynchronous and digital participation formats. Mission Hub communities are organised around shared intellectual purpose.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Asynchronous governance participation formats — how a learner who studies at 11pm can contribute to institutional decisions — are not yet fully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Senate session: specify asynchronous participation protocols for all governance bodies that include student members.</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LP-5  ·  </w:t>
            </w:r>
            <w:r>
              <w:rPr>
                <w:rFonts w:ascii="Georgia" w:cs="Georgia" w:eastAsia="Georgia" w:hAnsi="Georgia"/>
                <w:b/>
                <w:bCs/>
                <w:color w:val="FFFFFF"/>
                <w:sz w:val="21"/>
                <w:szCs w:val="21"/>
              </w:rPr>
              <w:t xml:space="preserve">The Designed Entry</w:t>
            </w:r>
            <w:r>
              <w:rPr>
                <w:rFonts w:ascii="Arial" w:cs="Arial" w:eastAsia="Arial" w:hAnsi="Arial"/>
                <w:i/>
                <w:iCs/>
                <w:color w:val="8899BB"/>
                <w:sz w:val="14"/>
                <w:szCs w:val="14"/>
              </w:rPr>
              <w:t xml:space="preserve">  ·  Person Learn8</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 accepts prior learning recognition and professional experience as entry criteria alongside traditional qualifications. The financial model is designed for learners who could not afford private alternatives.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prior learning recognition process — the committee, the criteria, the timeline, the advising support — has not yet been operationally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admissions cycle: specify the prior learning recognition process as a complete operational procedure with a named committee, published criteria, defined timelines, and dedicated advising support.</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LP-6  ·  </w:t>
            </w:r>
            <w:r>
              <w:rPr>
                <w:rFonts w:ascii="Georgia" w:cs="Georgia" w:eastAsia="Georgia" w:hAnsi="Georgia"/>
                <w:b/>
                <w:bCs/>
                <w:color w:val="FFFFFF"/>
                <w:sz w:val="21"/>
                <w:szCs w:val="21"/>
              </w:rPr>
              <w:t xml:space="preserve">The Permission Floor</w:t>
            </w:r>
            <w:r>
              <w:rPr>
                <w:rFonts w:ascii="Arial" w:cs="Arial" w:eastAsia="Arial" w:hAnsi="Arial"/>
                <w:i/>
                <w:iCs/>
                <w:color w:val="8899BB"/>
                <w:sz w:val="14"/>
                <w:szCs w:val="14"/>
              </w:rPr>
              <w:t xml:space="preserve">  ·  Person Learn8</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OUG's founding premise is built on the most permissive interpretation of the LHG. The Governance Compliance Map classifies rules as Statutory Requirement, Institutional Choice, or Open Design Space.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Compliance Map is a founding document. In operation, pressure to interpret the law conservatively will come from multiple directions. The founding interpretation must be actively defended.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In every accreditation submission and regulatory engagement: state explicitly which OUG features are institutional choices within the legal space. Make the distinction a public institutional position.</w:t>
                  </w:r>
                </w:p>
              </w:tc>
            </w:tr>
          </w:tbl>
          <w:p/>
        </w:tc>
      </w:tr>
    </w:tbl>
    <w:p>
      <w:pPr>
        <w:spacing w:after="80" w:before="0"/>
      </w:pPr>
    </w:p>
    <w:p>
      <w:pPr>
        <w:pStyle w:val="Heading2"/>
        <w:spacing w:after="90" w:before="280"/>
      </w:pPr>
      <w:r>
        <w:rPr>
          <w:rFonts w:ascii="Georgia" w:cs="Georgia" w:eastAsia="Georgia" w:hAnsi="Georgia"/>
          <w:b/>
          <w:bCs/>
          <w:color w:val="0D1F3C"/>
          <w:sz w:val="24"/>
          <w:szCs w:val="24"/>
        </w:rPr>
        <w:t xml:space="preserve">Person Curr4 — Curriculum as Governance  ·  New in This Edition</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CP-1  ·  </w:t>
            </w:r>
            <w:r>
              <w:rPr>
                <w:rFonts w:ascii="Georgia" w:cs="Georgia" w:eastAsia="Georgia" w:hAnsi="Georgia"/>
                <w:b/>
                <w:bCs/>
                <w:color w:val="FFFFFF"/>
                <w:sz w:val="21"/>
                <w:szCs w:val="21"/>
              </w:rPr>
              <w:t xml:space="preserve">Purpose Before Access</w:t>
            </w:r>
            <w:r>
              <w:rPr>
                <w:rFonts w:ascii="Arial" w:cs="Arial" w:eastAsia="Arial" w:hAnsi="Arial"/>
                <w:i/>
                <w:iCs/>
                <w:color w:val="8899BB"/>
                <w:sz w:val="14"/>
                <w:szCs w:val="14"/>
              </w:rPr>
              <w:t xml:space="preserve">  ·  Person Curr4</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OUG's purpose is defined in substantive terms — who it serves, what they gain, why the existing system does not serve them — before any access mechanism is specified. The €25/ECTS price point is the structural expression of this sequence: purpose first, access mechanism derived from it.</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Purpose Statement and Value Proposition are distributed across founding documents rather than consolidated in a single reviewable document.</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external communications campaign: consolidate the Purpose Statement and Value Proposition into a single governance document reviewed every three years alongside the strategic plan.</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CP-2  ·  </w:t>
            </w:r>
            <w:r>
              <w:rPr>
                <w:rFonts w:ascii="Georgia" w:cs="Georgia" w:eastAsia="Georgia" w:hAnsi="Georgia"/>
                <w:b/>
                <w:bCs/>
                <w:color w:val="FFFFFF"/>
                <w:sz w:val="21"/>
                <w:szCs w:val="21"/>
              </w:rPr>
              <w:t xml:space="preserve">Quality-Gated Federation</w:t>
            </w:r>
            <w:r>
              <w:rPr>
                <w:rFonts w:ascii="Arial" w:cs="Arial" w:eastAsia="Arial" w:hAnsi="Arial"/>
                <w:i/>
                <w:iCs/>
                <w:color w:val="8899BB"/>
                <w:sz w:val="14"/>
                <w:szCs w:val="14"/>
              </w:rPr>
              <w:t xml:space="preserve">  ·  Person Curr4</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Partner Membership Framework specifies a non-negotiable curriculum quality standard assessed during Phase 2 onboarding. The three-outcome eligibility assessment (Eligible / Conditionally Eligible / Not Eligible) is the selection mechanism that replaces negotiation.</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Design Authority that enforces the standard is named but not yet constituted as a functioning body with named members, explicit expertise criteria, and a documented assessment procedure.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partner onboarding: constitute the Design Authority as a functioning body. The quality gate exists on paper; the mechanism that operates it does not yet.</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CP-3  ·  </w:t>
            </w:r>
            <w:r>
              <w:rPr>
                <w:rFonts w:ascii="Georgia" w:cs="Georgia" w:eastAsia="Georgia" w:hAnsi="Georgia"/>
                <w:b/>
                <w:bCs/>
                <w:color w:val="FFFFFF"/>
                <w:sz w:val="21"/>
                <w:szCs w:val="21"/>
              </w:rPr>
              <w:t xml:space="preserve">Expert Design Authority</w:t>
            </w:r>
            <w:r>
              <w:rPr>
                <w:rFonts w:ascii="Arial" w:cs="Arial" w:eastAsia="Arial" w:hAnsi="Arial"/>
                <w:i/>
                <w:iCs/>
                <w:color w:val="8899BB"/>
                <w:sz w:val="14"/>
                <w:szCs w:val="14"/>
              </w:rPr>
              <w:t xml:space="preserve">  ·  Person Curr4</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Quality Commission holds independent quality oversight. The Partner Membership Framework names the Design Authority as the body that assesses partner course quality. The Academic Steward role holds curriculum authority within Mission Hubs.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formal boundary between curriculum design decisions and governance ratification decisions has not been specified explicitly. It exists implicitly but can be captured by committee processes under pressure.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curriculum governance cycle: document the explicit boundary between design decisions (made by expertise) and governance decisions (made by representation), with examples of decisions that fall on each side.</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CP-4  ·  </w:t>
            </w:r>
            <w:r>
              <w:rPr>
                <w:rFonts w:ascii="Georgia" w:cs="Georgia" w:eastAsia="Georgia" w:hAnsi="Georgia"/>
                <w:b/>
                <w:bCs/>
                <w:color w:val="FFFFFF"/>
                <w:sz w:val="21"/>
                <w:szCs w:val="21"/>
              </w:rPr>
              <w:t xml:space="preserve">The Unbundled Teacher</w:t>
            </w:r>
            <w:r>
              <w:rPr>
                <w:rFonts w:ascii="Arial" w:cs="Arial" w:eastAsia="Arial" w:hAnsi="Arial"/>
                <w:i/>
                <w:iCs/>
                <w:color w:val="8899BB"/>
                <w:sz w:val="14"/>
                <w:szCs w:val="14"/>
              </w:rPr>
              <w:t xml:space="preserve">  ·  Person Curr4</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Competence Codebook v10.0 (149 entries across 23 domains) is the designed curriculum framework any module must map to. The OOAPI v5 format requirement standardises module metadata. The Partner Membership Framework explicitly assigns module delivery to the partner and outcome specification to the OUG.</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Curriculum Designer role — the person who holds the competency architecture and makes decisions about how the codebook maps onto programme structure — is not yet a formally constituted role with a defined appointment process.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the first cohort enrols: constitute the Curriculum Designer role with named responsibilities, relationship to the Design Authority, and a defined review cycle.</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CP-5  ·  </w:t>
            </w:r>
            <w:r>
              <w:rPr>
                <w:rFonts w:ascii="Georgia" w:cs="Georgia" w:eastAsia="Georgia" w:hAnsi="Georgia"/>
                <w:b/>
                <w:bCs/>
                <w:color w:val="FFFFFF"/>
                <w:sz w:val="21"/>
                <w:szCs w:val="21"/>
              </w:rPr>
              <w:t xml:space="preserve">Concept Over Content</w:t>
            </w:r>
            <w:r>
              <w:rPr>
                <w:rFonts w:ascii="Arial" w:cs="Arial" w:eastAsia="Arial" w:hAnsi="Arial"/>
                <w:i/>
                <w:iCs/>
                <w:color w:val="8899BB"/>
                <w:sz w:val="14"/>
                <w:szCs w:val="14"/>
              </w:rPr>
              <w:t xml:space="preserve">  ·  Person Curr4</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curriculum is built around capability development rather than content transmission. The Competence Codebook specifies 149 atomic competencies at Bloom levels L1–L4. Platform Milestone 2 converts modules from content descriptions to competency maps. The Didactic Framework specifies the five-phase Didactic Unit structure.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Whether partner institutions that teach OUG modules share the concept-over-content orientation in practice is not guaranteed by design — only by quality verification. Platform Milestone 7 (competency-level student feedback) is the continuous detection mechanism but is not yet live.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Until Platform Milestone 7 is live: specify a manual proxy for detecting content-delivery practice in partner modules, as part of the Stichprobe sampling protocol.</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CP-6  ·  </w:t>
            </w:r>
            <w:r>
              <w:rPr>
                <w:rFonts w:ascii="Georgia" w:cs="Georgia" w:eastAsia="Georgia" w:hAnsi="Georgia"/>
                <w:b/>
                <w:bCs/>
                <w:color w:val="FFFFFF"/>
                <w:sz w:val="21"/>
                <w:szCs w:val="21"/>
              </w:rPr>
              <w:t xml:space="preserve">Year 1 as Designed Trust</w:t>
            </w:r>
            <w:r>
              <w:rPr>
                <w:rFonts w:ascii="Arial" w:cs="Arial" w:eastAsia="Arial" w:hAnsi="Arial"/>
                <w:i/>
                <w:iCs/>
                <w:color w:val="8899BB"/>
                <w:sz w:val="14"/>
                <w:szCs w:val="14"/>
              </w:rPr>
              <w:t xml:space="preserve">  ·  Person Curr4</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programme philosophy emphasises immediate real-world relevance, competency visibility from the first module, and Europass credentials from day one. The Didactic Framework specifies Year 1 as 'Learning to See' with a Bloom average of 2.1.</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Year 1 is not yet specified as a distinct governed phase with its own success criteria, review frequency, and named accountability for the trust-establishment function specifically.</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cohort enrols: specify Year 1 success criteria beyond ECTS completion, assign a more frequent review cycle than other curriculum years, and name the person accountable for the trust-establishment function.</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CP-7  ·  </w:t>
            </w:r>
            <w:r>
              <w:rPr>
                <w:rFonts w:ascii="Georgia" w:cs="Georgia" w:eastAsia="Georgia" w:hAnsi="Georgia"/>
                <w:b/>
                <w:bCs/>
                <w:color w:val="FFFFFF"/>
                <w:sz w:val="21"/>
                <w:szCs w:val="21"/>
              </w:rPr>
              <w:t xml:space="preserve">Strategy Before Structure</w:t>
            </w:r>
            <w:r>
              <w:rPr>
                <w:rFonts w:ascii="Arial" w:cs="Arial" w:eastAsia="Arial" w:hAnsi="Arial"/>
                <w:i/>
                <w:iCs/>
                <w:color w:val="8899BB"/>
                <w:sz w:val="14"/>
                <w:szCs w:val="14"/>
              </w:rPr>
              <w:t xml:space="preserve">  ·  Person Curr4</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Strategy Formation Protocol precedes all curriculum decisions. Learning strategy, teaching strategy, and assessment strategy exist in substance across founding documents. No course is designed before the strategy layer.</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three strategies exist in substance but are distributed across multiple documents rather than consolidated into three explicitly titled governing documents.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accreditation submission: consolidate learning strategy, teaching strategy, and assessment strategy into three named public documents — each short, specific, and reviewable on a defined cycle.</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CP-8  ·  </w:t>
            </w:r>
            <w:r>
              <w:rPr>
                <w:rFonts w:ascii="Georgia" w:cs="Georgia" w:eastAsia="Georgia" w:hAnsi="Georgia"/>
                <w:b/>
                <w:bCs/>
                <w:color w:val="FFFFFF"/>
                <w:sz w:val="21"/>
                <w:szCs w:val="21"/>
              </w:rPr>
              <w:t xml:space="preserve">Expressible Vision</w:t>
            </w:r>
            <w:r>
              <w:rPr>
                <w:rFonts w:ascii="Arial" w:cs="Arial" w:eastAsia="Arial" w:hAnsi="Arial"/>
                <w:i/>
                <w:iCs/>
                <w:color w:val="8899BB"/>
                <w:sz w:val="14"/>
                <w:szCs w:val="14"/>
              </w:rPr>
              <w:t xml:space="preserve">  ·  Person Curr4</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OUG's vision is clear and distinctive at the level of the founding team. The founding documents demonstrate that the institution can articulate what makes it different. The book proposals demonstrate that the vision can be expressed to external academic and public audiences.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 Communication Architecture — canonical expressions of the vision at four levels of detail (30 seconds, 2 minutes, 5 minutes, full narrative), tested with actual audiences — does not yet exist as an institutional document.</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partnership conversations: develop and test the Communication Architecture at all four levels with representative audiences. Maintain it as a governance document updated when the curriculum design changes.</w:t>
                  </w:r>
                </w:p>
              </w:tc>
            </w:tr>
          </w:tbl>
          <w:p/>
        </w:tc>
      </w:tr>
    </w:tbl>
    <w:p>
      <w:pPr>
        <w:spacing w:after="80" w:before="0"/>
      </w:pPr>
    </w:p>
    <w:p>
      <w:pPr>
        <w:pStyle w:val="Heading2"/>
        <w:spacing w:after="90" w:before="280"/>
      </w:pPr>
      <w:r>
        <w:rPr>
          <w:rFonts w:ascii="Georgia" w:cs="Georgia" w:eastAsia="Georgia" w:hAnsi="Georgia"/>
          <w:b/>
          <w:bCs/>
          <w:color w:val="0D1F3C"/>
          <w:sz w:val="24"/>
          <w:szCs w:val="24"/>
        </w:rPr>
        <w:t xml:space="preserve">Person 7org — System Perspective  ·  New in This Edition</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SP-1  ·  </w:t>
            </w:r>
            <w:r>
              <w:rPr>
                <w:rFonts w:ascii="Georgia" w:cs="Georgia" w:eastAsia="Georgia" w:hAnsi="Georgia"/>
                <w:b/>
                <w:bCs/>
                <w:color w:val="FFFFFF"/>
                <w:sz w:val="21"/>
                <w:szCs w:val="21"/>
              </w:rPr>
              <w:t xml:space="preserve">The Diverse Ecosystem Principle</w:t>
            </w:r>
            <w:r>
              <w:rPr>
                <w:rFonts w:ascii="Arial" w:cs="Arial" w:eastAsia="Arial" w:hAnsi="Arial"/>
                <w:i/>
                <w:iCs/>
                <w:color w:val="8899BB"/>
                <w:sz w:val="14"/>
                <w:szCs w:val="14"/>
              </w:rPr>
              <w:t xml:space="preserve">  ·  Person 7org</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OUG's founding premise is the articulation of a distinctive role no existing institution fills. This role is encoded in structural features — €25/ECTS, asynchronous-first, modular, fully online — not only in mission language. Every design feature is a direct expression of the role.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 formal Role Statement positioned explicitly against the European higher education ecosystem — reviewable on a defined cycle — does not yet exist as a standalone governance document.</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institutional review: extend the Design Signature into a formal Role Statement. Review it every three years alongside the strategic plan.</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SP-2  ·  </w:t>
            </w:r>
            <w:r>
              <w:rPr>
                <w:rFonts w:ascii="Georgia" w:cs="Georgia" w:eastAsia="Georgia" w:hAnsi="Georgia"/>
                <w:b/>
                <w:bCs/>
                <w:color w:val="FFFFFF"/>
                <w:sz w:val="21"/>
                <w:szCs w:val="21"/>
              </w:rPr>
              <w:t xml:space="preserve">Adaptive Governance</w:t>
            </w:r>
            <w:r>
              <w:rPr>
                <w:rFonts w:ascii="Arial" w:cs="Arial" w:eastAsia="Arial" w:hAnsi="Arial"/>
                <w:i/>
                <w:iCs/>
                <w:color w:val="8899BB"/>
                <w:sz w:val="14"/>
                <w:szCs w:val="14"/>
              </w:rPr>
              <w:t xml:space="preserve">  ·  Person 7org</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G1–G4 architecture was designed with adaptability as an explicit principle. Constitutional insulation of G3 prevents financial calcification. The Strategy Formation Protocol creates a renewal rhythm. The Portfolio Governance Framework allows the decision architecture to respond to circumstances.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governance architecture does not yet contain a Governance Review Calendar — a scheduled, periodic assessment of every governance structure's continued legitimacy.</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the first governance cycle is complete: add a Governance Review Calendar specifying review frequency and legitimacy criteria for each significant structure.</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SP-3  ·  </w:t>
            </w:r>
            <w:r>
              <w:rPr>
                <w:rFonts w:ascii="Georgia" w:cs="Georgia" w:eastAsia="Georgia" w:hAnsi="Georgia"/>
                <w:b/>
                <w:bCs/>
                <w:color w:val="FFFFFF"/>
                <w:sz w:val="21"/>
                <w:szCs w:val="21"/>
              </w:rPr>
              <w:t xml:space="preserve">Structure as Home and Challenge</w:t>
            </w:r>
            <w:r>
              <w:rPr>
                <w:rFonts w:ascii="Arial" w:cs="Arial" w:eastAsia="Arial" w:hAnsi="Arial"/>
                <w:i/>
                <w:iCs/>
                <w:color w:val="8899BB"/>
                <w:sz w:val="14"/>
                <w:szCs w:val="14"/>
              </w:rPr>
              <w:t xml:space="preserve">  ·  Person 7org</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Mission Hub model organises around societal challenges rather than inherited disciplinary categories. The Academic Community Charter specifies that Hubs are not permanent fiefdoms. Students are full Senate members, creating a structural crossing between learner community and academic governance.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Permeability Architecture between Mission Hubs — the designed interfaces that prevent each Hub from developing into a new kind of silo — is not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the first Hub reaches operational maturity: specify cross-Hub collaboration mechanisms as standing institutional features — shared projects, rotating joint governance membership, cross-Hub intellectual events.</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SP-4  ·  </w:t>
            </w:r>
            <w:r>
              <w:rPr>
                <w:rFonts w:ascii="Georgia" w:cs="Georgia" w:eastAsia="Georgia" w:hAnsi="Georgia"/>
                <w:b/>
                <w:bCs/>
                <w:color w:val="FFFFFF"/>
                <w:sz w:val="21"/>
                <w:szCs w:val="21"/>
              </w:rPr>
              <w:t xml:space="preserve">Governance as Designed Counterbalancing</w:t>
            </w:r>
            <w:r>
              <w:rPr>
                <w:rFonts w:ascii="Arial" w:cs="Arial" w:eastAsia="Arial" w:hAnsi="Arial"/>
                <w:i/>
                <w:iCs/>
                <w:color w:val="8899BB"/>
                <w:sz w:val="14"/>
                <w:szCs w:val="14"/>
              </w:rPr>
              <w:t xml:space="preserve">  ·  Person 7org</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G1–G4 architecture creates genuine counterbalancing between strategic direction, academic quality, and operational execution — constitutionally specified, not culturally aspirational. The OKR Framework creates top-down goal-setting reviewed through participatory strategy. Student Senate voting rights create a genuine bottom-up intelligence channel.</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counterbalancing design holds in the architecture. The test will come in the first genuine G2/G3 boundary dispute.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After the first significant G2/G3 boundary dispute: document the resolution process and publish the institutional learning as a governance precedent.</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SP-5  ·  </w:t>
            </w:r>
            <w:r>
              <w:rPr>
                <w:rFonts w:ascii="Georgia" w:cs="Georgia" w:eastAsia="Georgia" w:hAnsi="Georgia"/>
                <w:b/>
                <w:bCs/>
                <w:color w:val="FFFFFF"/>
                <w:sz w:val="21"/>
                <w:szCs w:val="21"/>
              </w:rPr>
              <w:t xml:space="preserve">The Learning Organisation</w:t>
            </w:r>
            <w:r>
              <w:rPr>
                <w:rFonts w:ascii="Arial" w:cs="Arial" w:eastAsia="Arial" w:hAnsi="Arial"/>
                <w:i/>
                <w:iCs/>
                <w:color w:val="8899BB"/>
                <w:sz w:val="14"/>
                <w:szCs w:val="14"/>
              </w:rPr>
              <w:t xml:space="preserve">  ·  Person 7org</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Bug Protocol treats underperformance as a system signal rather than individual failure. The Strategy Formation Protocol creates a strategic learning loop. The three-layer Partnership Crossing Point brings operational intelligence into governance.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Protected experimental space — explicit institutional permission for actors to try non-standard approaches without reputational consequence — is not yet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the first operational year: designate at least one formally protected experimental space per Mission Hub where non-standard approaches can be tried, observed, and either adopted or retired.</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SP-6  ·  </w:t>
            </w:r>
            <w:r>
              <w:rPr>
                <w:rFonts w:ascii="Georgia" w:cs="Georgia" w:eastAsia="Georgia" w:hAnsi="Georgia"/>
                <w:b/>
                <w:bCs/>
                <w:color w:val="FFFFFF"/>
                <w:sz w:val="21"/>
                <w:szCs w:val="21"/>
              </w:rPr>
              <w:t xml:space="preserve">The Heart and Mind of Leadership</w:t>
            </w:r>
            <w:r>
              <w:rPr>
                <w:rFonts w:ascii="Arial" w:cs="Arial" w:eastAsia="Arial" w:hAnsi="Arial"/>
                <w:i/>
                <w:iCs/>
                <w:color w:val="8899BB"/>
                <w:sz w:val="14"/>
                <w:szCs w:val="14"/>
              </w:rPr>
              <w:t xml:space="preserve">  ·  Person 7org</w:t>
            </w:r>
            <w:r>
              <w:rPr>
                <w:rFonts w:ascii="Arial" w:cs="Arial" w:eastAsia="Arial" w:hAnsi="Arial"/>
                <w:b/>
                <w:bCs/>
                <w:color w:val="FFCC88"/>
                <w:sz w:val="15"/>
                <w:szCs w:val="15"/>
              </w:rPr>
              <w:t xml:space="preserve">    ◑ Partial</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Leadership and Stewardship Profiles specify competency requirements that explicitly include both academic legitimacy (scientist's heart) and organisational design capacity (manager's mind) as jointly required conditions of appointment. The Leadership Development and Induction Framework provides a structured development programme.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development programme is designed but not yet delivered. It does not yet specify how both dimensions are measured rather than merely completed.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first roles are filled: add capability assessment to the Leadership Development and Induction Framework. Both the scientist's heart and the manager's mind must be measurably developed, not only formally introduced.</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SP-7  ·  </w:t>
            </w:r>
            <w:r>
              <w:rPr>
                <w:rFonts w:ascii="Georgia" w:cs="Georgia" w:eastAsia="Georgia" w:hAnsi="Georgia"/>
                <w:b/>
                <w:bCs/>
                <w:color w:val="FFFFFF"/>
                <w:sz w:val="21"/>
                <w:szCs w:val="21"/>
              </w:rPr>
              <w:t xml:space="preserve">Leadership as Legitimate Vocation</w:t>
            </w:r>
            <w:r>
              <w:rPr>
                <w:rFonts w:ascii="Arial" w:cs="Arial" w:eastAsia="Arial" w:hAnsi="Arial"/>
                <w:i/>
                <w:iCs/>
                <w:color w:val="8899BB"/>
                <w:sz w:val="14"/>
                <w:szCs w:val="14"/>
              </w:rPr>
              <w:t xml:space="preserve">  ·  Person 7org</w:t>
            </w:r>
            <w:r>
              <w:rPr>
                <w:rFonts w:ascii="Arial" w:cs="Arial" w:eastAsia="Arial" w:hAnsi="Arial"/>
                <w:b/>
                <w:bCs/>
                <w:color w:val="88DDCC"/>
                <w:sz w:val="15"/>
                <w:szCs w:val="15"/>
              </w:rPr>
              <w:t xml:space="preserve">    ● Built</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Term limits are constitutionally specified for all governance roles. Return pathways are specified. Governance roles are filled through competency-based appointment. The Proactive Capacity requirement creates structural protection that prevents the role from being consumed by operational demands.</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career pathway dimension — what governance experience at the OUG means for a person's long-term professional trajectory — is not yet formally specified.</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Before the first appointment cycle: specify governance career recognition explicitly — how governance experience is formally recorded and valued in subsequent career decisions.</w:t>
                  </w:r>
                </w:p>
              </w:tc>
            </w:tr>
          </w:tbl>
          <w:p/>
        </w:tc>
      </w:tr>
    </w:tbl>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color w:val="2E75B6"/>
                <w:sz w:val="15"/>
                <w:szCs w:val="15"/>
              </w:rPr>
              <w:t xml:space="preserve">SP-8  ·  </w:t>
            </w:r>
            <w:r>
              <w:rPr>
                <w:rFonts w:ascii="Georgia" w:cs="Georgia" w:eastAsia="Georgia" w:hAnsi="Georgia"/>
                <w:b/>
                <w:bCs/>
                <w:color w:val="FFFFFF"/>
                <w:sz w:val="21"/>
                <w:szCs w:val="21"/>
              </w:rPr>
              <w:t xml:space="preserve">Audit Over Accreditation</w:t>
            </w:r>
            <w:r>
              <w:rPr>
                <w:rFonts w:ascii="Arial" w:cs="Arial" w:eastAsia="Arial" w:hAnsi="Arial"/>
                <w:i/>
                <w:iCs/>
                <w:color w:val="8899BB"/>
                <w:sz w:val="14"/>
                <w:szCs w:val="14"/>
              </w:rPr>
              <w:t xml:space="preserve">  ·  Person 7org</w:t>
            </w:r>
            <w:r>
              <w:rPr>
                <w:rFonts w:ascii="Arial" w:cs="Arial" w:eastAsia="Arial" w:hAnsi="Arial"/>
                <w:b/>
                <w:bCs/>
                <w:color w:val="FFAAAA"/>
                <w:sz w:val="15"/>
                <w:szCs w:val="15"/>
              </w:rPr>
              <w:t xml:space="preserve">    ○ Gap — committed</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shd w:fill="EAF5EE" w:val="clear"/>
                  <w:tcMar>
                    <w:top w:type="dxa" w:w="50"/>
                    <w:left w:type="dxa" w:w="120"/>
                    <w:bottom w:type="dxa" w:w="40"/>
                    <w:right w:type="dxa" w:w="80"/>
                  </w:tcMar>
                </w:tcPr>
                <w:p>
                  <w:r>
                    <w:rPr>
                      <w:rFonts w:ascii="Arial" w:cs="Arial" w:eastAsia="Arial" w:hAnsi="Arial"/>
                      <w:b/>
                      <w:bCs/>
                      <w:caps/>
                      <w:color w:val="1A5C4A"/>
                      <w:sz w:val="13"/>
                      <w:szCs w:val="13"/>
                    </w:rPr>
                    <w:t xml:space="preserve">What we have built</w:t>
                  </w:r>
                </w:p>
              </w:tc>
              <w:tc>
                <w:tcPr>
                  <w:tcW w:type="dxa" w:w="3008"/>
                  <w:tcBorders>
                    <w:top w:val="none"/>
                    <w:left w:val="none"/>
                    <w:bottom w:val="none"/>
                    <w:right w:val="none"/>
                  </w:tcBorders>
                  <w:shd w:fill="FDF6EC" w:val="clear"/>
                  <w:tcMar>
                    <w:top w:type="dxa" w:w="50"/>
                    <w:left w:type="dxa" w:w="120"/>
                    <w:bottom w:type="dxa" w:w="40"/>
                    <w:right w:type="dxa" w:w="80"/>
                  </w:tcMar>
                </w:tcPr>
                <w:p>
                  <w:r>
                    <w:rPr>
                      <w:rFonts w:ascii="Arial" w:cs="Arial" w:eastAsia="Arial" w:hAnsi="Arial"/>
                      <w:b/>
                      <w:bCs/>
                      <w:caps/>
                      <w:color w:val="7A4A00"/>
                      <w:sz w:val="13"/>
                      <w:szCs w:val="13"/>
                    </w:rPr>
                    <w:t xml:space="preserve">What we have deferred</w:t>
                  </w:r>
                </w:p>
              </w:tc>
              <w:tc>
                <w:tcPr>
                  <w:tcW w:type="dxa" w:w="3008"/>
                  <w:tcBorders>
                    <w:top w:val="none"/>
                    <w:left w:val="none"/>
                    <w:bottom w:val="none"/>
                    <w:right w:val="none"/>
                  </w:tcBorders>
                  <w:shd w:fill="FAF0EE" w:val="clear"/>
                  <w:tcMar>
                    <w:top w:type="dxa" w:w="50"/>
                    <w:left w:type="dxa" w:w="120"/>
                    <w:bottom w:type="dxa" w:w="40"/>
                    <w:right w:type="dxa" w:w="80"/>
                  </w:tcMar>
                </w:tcPr>
                <w:p>
                  <w:r>
                    <w:rPr>
                      <w:rFonts w:ascii="Arial" w:cs="Arial" w:eastAsia="Arial" w:hAnsi="Arial"/>
                      <w:b/>
                      <w:bCs/>
                      <w:caps/>
                      <w:color w:val="8B1A1A"/>
                      <w:sz w:val="13"/>
                      <w:szCs w:val="13"/>
                    </w:rPr>
                    <w:t xml:space="preserve">What we commit to becoming</w:t>
                  </w:r>
                </w:p>
              </w:tc>
            </w:tr>
            <w:tr>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OUG's quality architecture is designed for the existing accreditation system. The Quality Assurance Framework, Stichprobe specification, and Readers' Guide for Accreditation are oriented toward demonstrating compliance with German and European accreditation criteria. This is necessary.</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The OUG does not yet have a Developmental Audit process — periodic peer-based review of whether it is achieving what it has defined as its purpose. Without this, every quality claim the OUG makes is internally asserted rather than externally verified. The accreditation system's standard is not sufficient to verify what the OUG claims to be.</w:t>
                  </w:r>
                </w:p>
              </w:tc>
              <w:tc>
                <w:tcPr>
                  <w:tcW w:type="dxa" w:w="3008"/>
                  <w:tcBorders>
                    <w:top w:val="none"/>
                    <w:left w:val="none"/>
                    <w:bottom w:val="none"/>
                    <w:right w:val="none"/>
                  </w:tcBorders>
                  <w:shd w:fill="FFFFFF" w:val="clear"/>
                  <w:tcMar>
                    <w:top w:type="dxa" w:w="80"/>
                    <w:left w:type="dxa" w:w="120"/>
                    <w:bottom w:type="dxa" w:w="90"/>
                    <w:right w:type="dxa" w:w="80"/>
                  </w:tcMar>
                </w:tcPr>
                <w:p>
                  <w:pPr>
                    <w:jc w:val="both"/>
                  </w:pPr>
                  <w:r>
                    <w:rPr>
                      <w:rFonts w:ascii="Georgia" w:cs="Georgia" w:eastAsia="Georgia" w:hAnsi="Georgia"/>
                      <w:color w:val="1A1A1A"/>
                      <w:sz w:val="20"/>
                      <w:szCs w:val="20"/>
                    </w:rPr>
                    <w:t xml:space="preserve">Closed by OUG_Developmental_Audit_Framework.docx: the Developmental Audit process is now fully specified. First audit at end of Year 1. Development Reports published publicly. Development Tracker maintained quarterly. This commitment is made because the OUG was founded to serve learners who the existing system has decided are not worth the cost of genuine accountability.</w:t>
                  </w:r>
                </w:p>
              </w:tc>
            </w:tr>
          </w:tbl>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III.  The Signature as a Commitment</w:t>
      </w:r>
    </w:p>
    <w:p>
      <w:pPr>
        <w:spacing w:after="185" w:before="0"/>
        <w:jc w:val="both"/>
      </w:pPr>
      <w:r>
        <w:rPr>
          <w:rFonts w:ascii="Georgia" w:cs="Georgia" w:eastAsia="Georgia" w:hAnsi="Georgia"/>
          <w:b w:val="false"/>
          <w:bCs w:val="false"/>
          <w:i w:val="false"/>
          <w:iCs w:val="false"/>
          <w:color w:val="1A1A1A"/>
          <w:sz w:val="23"/>
          <w:szCs w:val="23"/>
        </w:rPr>
        <w:t xml:space="preserve">Forty-two principles from six dialogue sources. The summary across all four stress tests is now visible as a structural finding rather than an observation: the OUG is strongest where it differs structurally from traditional institutions, and its gaps are precisely where it has not yet finished specifying the mechanisms that make those structural choices durable.</w:t>
      </w:r>
    </w:p>
    <w:p>
      <w:pPr>
        <w:spacing w:after="185" w:before="0"/>
        <w:jc w:val="both"/>
      </w:pPr>
      <w:r>
        <w:rPr>
          <w:rFonts w:ascii="Georgia" w:cs="Georgia" w:eastAsia="Georgia" w:hAnsi="Georgia"/>
          <w:b w:val="false"/>
          <w:bCs w:val="false"/>
          <w:i w:val="false"/>
          <w:iCs w:val="false"/>
          <w:color w:val="1A1A1A"/>
          <w:sz w:val="23"/>
          <w:szCs w:val="23"/>
        </w:rPr>
        <w:t xml:space="preserve">Across forty-two principles: seventeen built into the founding design with strong structural anchoring. Twenty partially present — in design, in intention, or in the document stack, but not yet fully operationalised. Two named gaps with committed closure actions — HP-7 (the Task Architecture) and SP-8 (the Developmental Audit, now closed). Three principles where the proof is in the doing rather than the designing.</w:t>
      </w:r>
    </w:p>
    <w:p>
      <w:pPr>
        <w:spacing w:after="185" w:before="0"/>
        <w:jc w:val="both"/>
      </w:pPr>
      <w:r>
        <w:rPr>
          <w:rFonts w:ascii="Georgia" w:cs="Georgia" w:eastAsia="Georgia" w:hAnsi="Georgia"/>
          <w:b w:val="false"/>
          <w:bCs w:val="false"/>
          <w:i w:val="false"/>
          <w:iCs w:val="false"/>
          <w:color w:val="1A1A1A"/>
          <w:sz w:val="23"/>
          <w:szCs w:val="23"/>
        </w:rPr>
        <w:t xml:space="preserve">The SP-8 gap is now closed. The Developmental Audit Framework is published. The first audit is scheduled for the end of Year 1. The Development Reports will be public. This is the most significant new commitment in this edition of the Design Signature — not because the other gaps are less important but because the Developmental Audit is the accountability mechanism that makes all other commitments externally verifiable. It is the instrument by which the institution holds itself to the standard it is asking the system to adopt.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0D1F3C" w:val="clear"/>
            <w:tcMar>
              <w:top w:type="dxa" w:w="200"/>
              <w:left w:type="dxa" w:w="280"/>
              <w:bottom w:type="dxa" w:w="200"/>
              <w:right w:type="dxa" w:w="280"/>
            </w:tcMar>
          </w:tcPr>
          <w:p>
            <w:pPr>
              <w:spacing w:after="0" w:before="0"/>
              <w:jc w:val="both"/>
            </w:pPr>
            <w:r>
              <w:rPr>
                <w:rFonts w:ascii="Georgia" w:cs="Georgia" w:eastAsia="Georgia" w:hAnsi="Georgia"/>
                <w:i/>
                <w:iCs/>
                <w:color w:val="FFFFFF"/>
                <w:sz w:val="23"/>
                <w:szCs w:val="23"/>
              </w:rPr>
              <w:t xml:space="preserve">The distance between 'built' and 'committed' is not a failure. It is a map. And a map is only useful if you publish it. This institution publishes its map — including the parts that are incomplete — because an institution founded on transparent design principles should document its own incompleteness with the same rigour it brings to documenting its achievements.</w:t>
            </w:r>
          </w:p>
        </w:tc>
      </w:tr>
    </w:tbl>
    <w:p>
      <w:pPr>
        <w:spacing w:after="200" w:before="0"/>
      </w:pPr>
    </w:p>
    <w:p>
      <w:pPr>
        <w:pBdr>
          <w:bottom w:val="single" w:color="2E75B6" w:sz="4" w:space="1"/>
        </w:pBdr>
        <w:spacing w:after="160" w:before="0"/>
      </w:pPr>
    </w:p>
    <w:p>
      <w:pPr>
        <w:spacing w:after="0" w:before="160"/>
        <w:jc w:val="right"/>
      </w:pPr>
      <w:r>
        <w:rPr>
          <w:rFonts w:ascii="Arial" w:cs="Arial" w:eastAsia="Arial" w:hAnsi="Arial"/>
          <w:i/>
          <w:iCs/>
          <w:color w:val="BBBBBB"/>
          <w:sz w:val="17"/>
          <w:szCs w:val="17"/>
        </w:rPr>
        <w:t xml:space="preserve">Open University of Germany  ·  Design Signature  ·  Second Edition  ·  Six Dialogue Sources  ·  2026</w:t>
      </w:r>
    </w:p>
    <w:sectPr>
      <w:pgSz w:w="11906" w:h="16838" w:orient="portrait"/>
      <w:pgMar w:top="12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90" w:before="280"/>
      <w:outlineLvl w:val="1"/>
    </w:pPr>
    <w:rPr>
      <w:rFonts w:ascii="Georgia" w:cs="Georgia" w:eastAsia="Georgia" w:hAnsi="Georgia"/>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2026-05-13T05:59:33.177Z</dcterms:created>
  <dcterms:modified xsi:type="dcterms:W3CDTF">2026-05-13T05:59:33.178Z</dcterms:modified>
</cp:coreProperties>
</file>

<file path=docProps/custom.xml><?xml version="1.0" encoding="utf-8"?>
<Properties xmlns="http://schemas.openxmlformats.org/officeDocument/2006/custom-properties" xmlns:vt="http://schemas.openxmlformats.org/officeDocument/2006/docPropsVTypes"/>
</file>