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0"/>
      </w:pPr>
      <w:r>
        <w:rPr>
          <w:rFonts w:ascii="Arial" w:cs="Arial" w:eastAsia="Arial" w:hAnsi="Arial"/>
          <w:b/>
          <w:bCs/>
          <w:caps/>
          <w:color w:val="2E75B6"/>
          <w:sz w:val="17"/>
          <w:szCs w:val="17"/>
        </w:rPr>
        <w:t xml:space="preserve">OPEN UNIVERSITY OF GERMANY  ·  GOVERNANCE ARCHITECTURE</w:t>
      </w:r>
    </w:p>
    <w:p>
      <w:pPr>
        <w:spacing w:after="50" w:before="0"/>
      </w:pPr>
      <w:r>
        <w:rPr>
          <w:rFonts w:ascii="Arial" w:cs="Arial" w:eastAsia="Arial" w:hAnsi="Arial"/>
          <w:color w:val="AAAAAA"/>
          <w:sz w:val="17"/>
          <w:szCs w:val="17"/>
        </w:rPr>
        <w:t xml:space="preserve">Governance Review Calendar  ·  2026</w:t>
      </w:r>
    </w:p>
    <w:p>
      <w:pPr>
        <w:pBdr>
          <w:bottom w:val="single" w:color="2E75B6" w:sz="8" w:space="1"/>
        </w:pBdr>
        <w:spacing w:after="240" w:before="0"/>
      </w:pPr>
    </w:p>
    <w:p>
      <w:pPr>
        <w:spacing w:after="40" w:before="0"/>
      </w:pPr>
      <w:r>
        <w:rPr>
          <w:rFonts w:ascii="Georgia" w:cs="Georgia" w:eastAsia="Georgia" w:hAnsi="Georgia"/>
          <w:b/>
          <w:bCs/>
          <w:color w:val="0D1F3C"/>
          <w:sz w:val="40"/>
          <w:szCs w:val="40"/>
        </w:rPr>
        <w:t xml:space="preserve">Governance Review Calendar</w:t>
      </w:r>
    </w:p>
    <w:p>
      <w:pPr>
        <w:spacing w:after="280" w:before="0"/>
      </w:pPr>
      <w:r>
        <w:rPr>
          <w:rFonts w:ascii="Georgia" w:cs="Georgia" w:eastAsia="Georgia" w:hAnsi="Georgia"/>
          <w:i/>
          <w:iCs/>
          <w:color w:val="1F3864"/>
          <w:sz w:val="22"/>
          <w:szCs w:val="22"/>
        </w:rPr>
        <w:t xml:space="preserve">Scheduled Legitimacy Reviews for Every Significant Governance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F4F7FA" w:val="clear"/>
            <w:tcMar>
              <w:top w:type="dxa" w:w="180"/>
              <w:left w:type="dxa" w:w="260"/>
              <w:bottom w:type="dxa" w:w="180"/>
              <w:right w:type="dxa" w:w="260"/>
            </w:tcMar>
          </w:tcPr>
          <w:p>
            <w:pPr>
              <w:spacing w:after="60" w:before="0"/>
            </w:pPr>
            <w:r>
              <w:rPr>
                <w:rFonts w:ascii="Arial" w:cs="Arial" w:eastAsia="Arial" w:hAnsi="Arial"/>
                <w:b/>
                <w:bCs/>
                <w:color w:val="1F3864"/>
                <w:sz w:val="17"/>
                <w:szCs w:val="17"/>
              </w:rPr>
              <w:t xml:space="preserve">Why this document exists</w:t>
            </w:r>
          </w:p>
          <w:p>
            <w:pPr>
              <w:spacing w:after="90" w:before="0"/>
              <w:jc w:val="both"/>
            </w:pPr>
            <w:r>
              <w:rPr>
                <w:rFonts w:ascii="Georgia" w:cs="Georgia" w:eastAsia="Georgia" w:hAnsi="Georgia"/>
                <w:color w:val="1A1A1A"/>
                <w:sz w:val="22"/>
                <w:szCs w:val="22"/>
              </w:rPr>
              <w:t xml:space="preserve">Governance structures accumulate legitimacy through age and familiarity. A committee that has existed for ten years is experienced as a natural feature of the institution rather than a design decision that can be revisited. The cost of changing any element is visible and immediate. The cost of not changing is invisible and deferred. Left unmanaged, this asymmetry produces institutional calcification — the Frozen Structure antipattern (AP-20).</w:t>
            </w:r>
          </w:p>
          <w:p>
            <w:pPr>
              <w:spacing w:after="0" w:before="0"/>
              <w:jc w:val="both"/>
            </w:pPr>
            <w:r>
              <w:rPr>
                <w:rFonts w:ascii="Georgia" w:cs="Georgia" w:eastAsia="Georgia" w:hAnsi="Georgia"/>
                <w:i/>
                <w:iCs/>
                <w:color w:val="4A5568"/>
                <w:sz w:val="22"/>
                <w:szCs w:val="22"/>
              </w:rPr>
              <w:t xml:space="preserve">The Governance Review Calendar prevents this by making structural revision a normal, scheduled operation rather than a crisis. Every significant governance structure has a review date. At that date, the structure must justify its continued existence against its current purpose. Structures that pass are confirmed. Structures that fail are reformed or retired. New structures are created with explicit review triggers.</w:t>
            </w:r>
          </w:p>
        </w:tc>
      </w:tr>
    </w:tbl>
    <w:p>
      <w:pPr>
        <w:spacing w:after="200" w:before="0"/>
      </w:pPr>
    </w:p>
    <w:p>
      <w:pPr>
        <w:pStyle w:val="Heading1"/>
        <w:spacing w:after="140" w:before="480"/>
      </w:pPr>
      <w:r>
        <w:rPr>
          <w:rFonts w:ascii="Georgia" w:cs="Georgia" w:eastAsia="Georgia" w:hAnsi="Georgia"/>
          <w:b/>
          <w:bCs/>
          <w:color w:val="1F3864"/>
          <w:sz w:val="30"/>
          <w:szCs w:val="30"/>
        </w:rPr>
        <w:t xml:space="preserve">I.  The Review Process</w:t>
      </w:r>
    </w:p>
    <w:p>
      <w:pPr>
        <w:spacing w:after="185" w:before="0"/>
        <w:jc w:val="both"/>
      </w:pPr>
      <w:r>
        <w:rPr>
          <w:rFonts w:ascii="Georgia" w:cs="Georgia" w:eastAsia="Georgia" w:hAnsi="Georgia"/>
          <w:b w:val="false"/>
          <w:bCs w:val="false"/>
          <w:i w:val="false"/>
          <w:iCs w:val="false"/>
          <w:color w:val="1A1A1A"/>
          <w:sz w:val="23"/>
          <w:szCs w:val="23"/>
        </w:rPr>
        <w:t xml:space="preserve">Each governance structure review has three steps. First, the structure's current owners produce a one-page Legitimacy Statement: what is this structure for, what evidence shows it is still serving that purpose, and what would the institution lose if it did not exist? Second, a reviewer designated by the Hochschulrat (not the structure's own members) reads the Legitimacy Statement and the structure's record from the past cycle and produces a one-page Review Finding: confirmed, reformed (with specific required changes), or retired (with a transition plan). Third, the Hochschulrat endorses the Finding at its next scheduled meeting. The entire process takes no more than four weeks.</w:t>
      </w:r>
    </w:p>
    <w:p>
      <w:pPr>
        <w:spacing w:after="185" w:before="0"/>
        <w:jc w:val="both"/>
      </w:pPr>
      <w:r>
        <w:rPr>
          <w:rFonts w:ascii="Georgia" w:cs="Georgia" w:eastAsia="Georgia" w:hAnsi="Georgia"/>
          <w:b w:val="false"/>
          <w:bCs w:val="false"/>
          <w:i w:val="false"/>
          <w:iCs w:val="false"/>
          <w:color w:val="1A1A1A"/>
          <w:sz w:val="23"/>
          <w:szCs w:val="23"/>
        </w:rPr>
        <w:t xml:space="preserve">The review is not a performance evaluation of the people who serve in the structure. It is a legitimacy assessment of the structure itself. A structure may be served by excellent people and still be no longer fit for its purpose. Equally, a structure that is struggling may need better support rather than retirement. The review asks the structural question, not the personal one.</w:t>
      </w:r>
    </w:p>
    <w:p>
      <w:pPr>
        <w:spacing w:after="60" w:before="0"/>
      </w:pPr>
    </w:p>
    <w:p>
      <w:pPr>
        <w:pStyle w:val="Heading1"/>
        <w:spacing w:after="140" w:before="480"/>
      </w:pPr>
      <w:r>
        <w:rPr>
          <w:rFonts w:ascii="Georgia" w:cs="Georgia" w:eastAsia="Georgia" w:hAnsi="Georgia"/>
          <w:b/>
          <w:bCs/>
          <w:color w:val="1F3864"/>
          <w:sz w:val="30"/>
          <w:szCs w:val="30"/>
        </w:rPr>
        <w:t xml:space="preserve">II.  The Calendar</w:t>
      </w:r>
    </w:p>
    <w:p>
      <w:pPr>
        <w:spacing w:after="80" w:before="0"/>
        <w:jc w:val="both"/>
      </w:pPr>
      <w:r>
        <w:rPr>
          <w:rFonts w:ascii="Georgia" w:cs="Georgia" w:eastAsia="Georgia" w:hAnsi="Georgia"/>
          <w:b w:val="false"/>
          <w:bCs w:val="false"/>
          <w:i w:val="false"/>
          <w:iCs w:val="false"/>
          <w:color w:val="1A1A1A"/>
          <w:sz w:val="23"/>
          <w:szCs w:val="23"/>
        </w:rPr>
        <w:t xml:space="preserve">The table below specifies every significant OUG governance structure, its review frequency, its next scheduled review date (anchored to the Year 1 operational start), and the body responsible for the review finding.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600"/>
        <w:gridCol w:w="2600"/>
        <w:gridCol w:w="1826"/>
      </w:tblGrid>
      <w:tr>
        <w:tc>
          <w:tcPr>
            <w:tcW w:type="dxa" w:w="2200"/>
            <w:tcBorders>
              <w:top w:val="none"/>
              <w:left w:val="none"/>
              <w:bottom w:val="none"/>
              <w:right w:val="none"/>
            </w:tcBorders>
            <w:shd w:fill="0D1F3C" w:val="clear"/>
            <w:tcMar>
              <w:top w:type="dxa" w:w="65"/>
              <w:left w:type="dxa" w:w="100"/>
              <w:bottom w:type="dxa" w:w="65"/>
              <w:right w:type="dxa" w:w="60"/>
            </w:tcMar>
          </w:tcPr>
          <w:p>
            <w:r>
              <w:rPr>
                <w:rFonts w:ascii="Arial" w:cs="Arial" w:eastAsia="Arial" w:hAnsi="Arial"/>
                <w:b/>
                <w:bCs/>
                <w:color w:val="FFFFFF"/>
                <w:sz w:val="15"/>
                <w:szCs w:val="15"/>
              </w:rPr>
              <w:t xml:space="preserve">Structure</w:t>
            </w:r>
          </w:p>
        </w:tc>
        <w:tc>
          <w:tcPr>
            <w:tcW w:type="dxa" w:w="800"/>
            <w:tcBorders>
              <w:top w:val="none"/>
              <w:left w:val="none"/>
              <w:bottom w:val="none"/>
              <w:right w:val="none"/>
            </w:tcBorders>
            <w:shd w:fill="0D1F3C" w:val="clear"/>
            <w:tcMar>
              <w:top w:type="dxa" w:w="65"/>
              <w:left w:type="dxa" w:w="100"/>
              <w:bottom w:type="dxa" w:w="65"/>
              <w:right w:type="dxa" w:w="60"/>
            </w:tcMar>
          </w:tcPr>
          <w:p>
            <w:r>
              <w:rPr>
                <w:rFonts w:ascii="Arial" w:cs="Arial" w:eastAsia="Arial" w:hAnsi="Arial"/>
                <w:b/>
                <w:bCs/>
                <w:color w:val="FFFFFF"/>
                <w:sz w:val="15"/>
                <w:szCs w:val="15"/>
              </w:rPr>
              <w:t xml:space="preserve">Layer</w:t>
            </w:r>
          </w:p>
        </w:tc>
        <w:tc>
          <w:tcPr>
            <w:tcW w:type="dxa" w:w="1600"/>
            <w:tcBorders>
              <w:top w:val="none"/>
              <w:left w:val="none"/>
              <w:bottom w:val="none"/>
              <w:right w:val="none"/>
            </w:tcBorders>
            <w:shd w:fill="0D1F3C" w:val="clear"/>
            <w:tcMar>
              <w:top w:type="dxa" w:w="65"/>
              <w:left w:type="dxa" w:w="100"/>
              <w:bottom w:type="dxa" w:w="65"/>
              <w:right w:type="dxa" w:w="60"/>
            </w:tcMar>
          </w:tcPr>
          <w:p>
            <w:r>
              <w:rPr>
                <w:rFonts w:ascii="Arial" w:cs="Arial" w:eastAsia="Arial" w:hAnsi="Arial"/>
                <w:b/>
                <w:bCs/>
                <w:color w:val="FFFFFF"/>
                <w:sz w:val="15"/>
                <w:szCs w:val="15"/>
              </w:rPr>
              <w:t xml:space="preserve">Frequency</w:t>
            </w:r>
          </w:p>
        </w:tc>
        <w:tc>
          <w:tcPr>
            <w:tcW w:type="dxa" w:w="2600"/>
            <w:tcBorders>
              <w:top w:val="none"/>
              <w:left w:val="none"/>
              <w:bottom w:val="none"/>
              <w:right w:val="none"/>
            </w:tcBorders>
            <w:shd w:fill="0D1F3C" w:val="clear"/>
            <w:tcMar>
              <w:top w:type="dxa" w:w="65"/>
              <w:left w:type="dxa" w:w="100"/>
              <w:bottom w:type="dxa" w:w="65"/>
              <w:right w:type="dxa" w:w="60"/>
            </w:tcMar>
          </w:tcPr>
          <w:p>
            <w:r>
              <w:rPr>
                <w:rFonts w:ascii="Arial" w:cs="Arial" w:eastAsia="Arial" w:hAnsi="Arial"/>
                <w:b/>
                <w:bCs/>
                <w:color w:val="FFFFFF"/>
                <w:sz w:val="15"/>
                <w:szCs w:val="15"/>
              </w:rPr>
              <w:t xml:space="preserve">Legitimacy Criterion</w:t>
            </w:r>
          </w:p>
        </w:tc>
        <w:tc>
          <w:tcPr>
            <w:tcW w:type="dxa" w:w="1826"/>
            <w:tcBorders>
              <w:top w:val="none"/>
              <w:left w:val="none"/>
              <w:bottom w:val="none"/>
              <w:right w:val="none"/>
            </w:tcBorders>
            <w:shd w:fill="0D1F3C" w:val="clear"/>
            <w:tcMar>
              <w:top w:type="dxa" w:w="65"/>
              <w:left w:type="dxa" w:w="100"/>
              <w:bottom w:type="dxa" w:w="65"/>
              <w:right w:type="dxa" w:w="60"/>
            </w:tcMar>
          </w:tcPr>
          <w:p>
            <w:r>
              <w:rPr>
                <w:rFonts w:ascii="Arial" w:cs="Arial" w:eastAsia="Arial" w:hAnsi="Arial"/>
                <w:b/>
                <w:bCs/>
                <w:color w:val="FFFFFF"/>
                <w:sz w:val="15"/>
                <w:szCs w:val="15"/>
              </w:rPr>
              <w:t xml:space="preserve">Reviewer</w:t>
            </w:r>
          </w:p>
        </w:tc>
      </w:tr>
      <w:tr>
        <w:tc>
          <w:tcPr>
            <w:tcW w:type="dxa" w:w="2200"/>
            <w:tcBorders>
              <w:top w:val="none"/>
              <w:left w:val="none"/>
              <w:bottom w:val="none"/>
              <w:right w:val="none"/>
            </w:tcBorders>
            <w:shd w:fill="1F3864" w:val="clear"/>
            <w:tcMar>
              <w:top w:type="dxa" w:w="60"/>
              <w:left w:type="dxa" w:w="100"/>
              <w:bottom w:type="dxa" w:w="60"/>
              <w:right w:type="dxa" w:w="60"/>
            </w:tcMar>
          </w:tcPr>
          <w:p>
            <w:r>
              <w:rPr>
                <w:rFonts w:ascii="Georgia" w:cs="Georgia" w:eastAsia="Georgia" w:hAnsi="Georgia"/>
                <w:b/>
                <w:bCs/>
                <w:color w:val="FFFFFF"/>
                <w:sz w:val="19"/>
                <w:szCs w:val="19"/>
              </w:rPr>
              <w:t xml:space="preserve">Hochschulrat (G1)</w:t>
            </w:r>
          </w:p>
        </w:tc>
        <w:tc>
          <w:tcPr>
            <w:tcW w:type="dxa" w:w="800"/>
            <w:tcBorders>
              <w:top w:val="none"/>
              <w:left w:val="none"/>
              <w:bottom w:val="none"/>
              <w:right w:val="none"/>
            </w:tcBorders>
            <w:shd w:fill="FFFFFF" w:val="clear"/>
            <w:tcMar>
              <w:top w:type="dxa" w:w="60"/>
              <w:left w:type="dxa" w:w="80"/>
              <w:bottom w:type="dxa" w:w="60"/>
              <w:right w:type="dxa" w:w="60"/>
            </w:tcMar>
          </w:tcPr>
          <w:p>
            <w:pPr>
              <w:jc w:val="center"/>
            </w:pPr>
            <w:r>
              <w:rPr>
                <w:rFonts w:ascii="Arial" w:cs="Arial" w:eastAsia="Arial" w:hAnsi="Arial"/>
                <w:b/>
                <w:bCs/>
                <w:color w:val="2E75B6"/>
                <w:sz w:val="16"/>
                <w:szCs w:val="16"/>
              </w:rPr>
              <w:t xml:space="preserve">G1</w:t>
            </w:r>
          </w:p>
        </w:tc>
        <w:tc>
          <w:tcPr>
            <w:tcW w:type="dxa" w:w="1600"/>
            <w:tcBorders>
              <w:top w:val="none"/>
              <w:left w:val="none"/>
              <w:bottom w:val="none"/>
              <w:right w:val="none"/>
            </w:tcBorders>
            <w:shd w:fill="FFFFFF" w:val="clear"/>
            <w:tcMar>
              <w:top w:type="dxa" w:w="60"/>
              <w:left w:type="dxa" w:w="100"/>
              <w:bottom w:type="dxa" w:w="60"/>
              <w:right w:type="dxa" w:w="60"/>
            </w:tcMar>
          </w:tcPr>
          <w:p>
            <w:r>
              <w:rPr>
                <w:rFonts w:ascii="Arial" w:cs="Arial" w:eastAsia="Arial" w:hAnsi="Arial"/>
                <w:i/>
                <w:iCs/>
                <w:color w:val="4A5568"/>
                <w:sz w:val="17"/>
                <w:szCs w:val="17"/>
              </w:rPr>
              <w:t xml:space="preserve">Every 4 years</w:t>
            </w:r>
          </w:p>
        </w:tc>
        <w:tc>
          <w:tcPr>
            <w:tcW w:type="dxa" w:w="2600"/>
            <w:tcBorders>
              <w:top w:val="none"/>
              <w:left w:val="none"/>
              <w:bottom w:val="none"/>
              <w:right w:val="none"/>
            </w:tcBorders>
            <w:shd w:fill="FFFFFF" w:val="clear"/>
            <w:tcMar>
              <w:top w:type="dxa" w:w="60"/>
              <w:left w:type="dxa" w:w="100"/>
              <w:bottom w:type="dxa" w:w="60"/>
              <w:right w:type="dxa" w:w="60"/>
            </w:tcMar>
          </w:tcPr>
          <w:p>
            <w:pPr>
              <w:jc w:val="both"/>
            </w:pPr>
            <w:r>
              <w:rPr>
                <w:rFonts w:ascii="Georgia" w:cs="Georgia" w:eastAsia="Georgia" w:hAnsi="Georgia"/>
                <w:color w:val="1A1A1A"/>
                <w:sz w:val="18"/>
                <w:szCs w:val="18"/>
              </w:rPr>
              <w:t xml:space="preserve">Is G1's composition still representative of the institutional ecosystem the OUG serves? Are its accountability functions being exercised?</w:t>
            </w:r>
          </w:p>
        </w:tc>
        <w:tc>
          <w:tcPr>
            <w:tcW w:type="dxa" w:w="1826"/>
            <w:tcBorders>
              <w:top w:val="none"/>
              <w:left w:val="none"/>
              <w:bottom w:val="none"/>
              <w:right w:val="none"/>
            </w:tcBorders>
            <w:shd w:fill="FFFFFF" w:val="clear"/>
            <w:tcMar>
              <w:top w:type="dxa" w:w="60"/>
              <w:left w:type="dxa" w:w="100"/>
              <w:bottom w:type="dxa" w:w="60"/>
              <w:right w:type="dxa" w:w="60"/>
            </w:tcMar>
          </w:tcPr>
          <w:p>
            <w:pPr>
              <w:jc w:val="both"/>
            </w:pPr>
            <w:r>
              <w:rPr>
                <w:rFonts w:ascii="Georgia" w:cs="Georgia" w:eastAsia="Georgia" w:hAnsi="Georgia"/>
                <w:i/>
                <w:iCs/>
                <w:color w:val="4A5568"/>
                <w:sz w:val="18"/>
                <w:szCs w:val="18"/>
              </w:rPr>
              <w:t xml:space="preserve">External independent reviewer appointed by MWK</w:t>
            </w:r>
          </w:p>
        </w:tc>
      </w:tr>
      <w:tr>
        <w:tc>
          <w:tcPr>
            <w:tcW w:type="dxa" w:w="2200"/>
            <w:tcBorders>
              <w:top w:val="none"/>
              <w:left w:val="none"/>
              <w:bottom w:val="none"/>
              <w:right w:val="none"/>
            </w:tcBorders>
            <w:shd w:fill="1F3864" w:val="clear"/>
            <w:tcMar>
              <w:top w:type="dxa" w:w="60"/>
              <w:left w:type="dxa" w:w="100"/>
              <w:bottom w:type="dxa" w:w="60"/>
              <w:right w:type="dxa" w:w="60"/>
            </w:tcMar>
          </w:tcPr>
          <w:p>
            <w:r>
              <w:rPr>
                <w:rFonts w:ascii="Georgia" w:cs="Georgia" w:eastAsia="Georgia" w:hAnsi="Georgia"/>
                <w:b/>
                <w:bCs/>
                <w:color w:val="FFFFFF"/>
                <w:sz w:val="19"/>
                <w:szCs w:val="19"/>
              </w:rPr>
              <w:t xml:space="preserve">Senate (G3)</w:t>
            </w:r>
          </w:p>
        </w:tc>
        <w:tc>
          <w:tcPr>
            <w:tcW w:type="dxa" w:w="800"/>
            <w:tcBorders>
              <w:top w:val="none"/>
              <w:left w:val="none"/>
              <w:bottom w:val="none"/>
              <w:right w:val="none"/>
            </w:tcBorders>
            <w:shd w:fill="F4F7FA" w:val="clear"/>
            <w:tcMar>
              <w:top w:type="dxa" w:w="60"/>
              <w:left w:type="dxa" w:w="80"/>
              <w:bottom w:type="dxa" w:w="60"/>
              <w:right w:type="dxa" w:w="60"/>
            </w:tcMar>
          </w:tcPr>
          <w:p>
            <w:pPr>
              <w:jc w:val="center"/>
            </w:pPr>
            <w:r>
              <w:rPr>
                <w:rFonts w:ascii="Arial" w:cs="Arial" w:eastAsia="Arial" w:hAnsi="Arial"/>
                <w:b/>
                <w:bCs/>
                <w:color w:val="2E75B6"/>
                <w:sz w:val="16"/>
                <w:szCs w:val="16"/>
              </w:rPr>
              <w:t xml:space="preserve">G3</w:t>
            </w:r>
          </w:p>
        </w:tc>
        <w:tc>
          <w:tcPr>
            <w:tcW w:type="dxa" w:w="1600"/>
            <w:tcBorders>
              <w:top w:val="none"/>
              <w:left w:val="none"/>
              <w:bottom w:val="none"/>
              <w:right w:val="none"/>
            </w:tcBorders>
            <w:shd w:fill="F4F7FA" w:val="clear"/>
            <w:tcMar>
              <w:top w:type="dxa" w:w="60"/>
              <w:left w:type="dxa" w:w="100"/>
              <w:bottom w:type="dxa" w:w="60"/>
              <w:right w:type="dxa" w:w="60"/>
            </w:tcMar>
          </w:tcPr>
          <w:p>
            <w:r>
              <w:rPr>
                <w:rFonts w:ascii="Arial" w:cs="Arial" w:eastAsia="Arial" w:hAnsi="Arial"/>
                <w:i/>
                <w:iCs/>
                <w:color w:val="4A5568"/>
                <w:sz w:val="17"/>
                <w:szCs w:val="17"/>
              </w:rPr>
              <w:t xml:space="preserve">Every 3 years</w:t>
            </w:r>
          </w:p>
        </w:tc>
        <w:tc>
          <w:tcPr>
            <w:tcW w:type="dxa" w:w="2600"/>
            <w:tcBorders>
              <w:top w:val="none"/>
              <w:left w:val="none"/>
              <w:bottom w:val="none"/>
              <w:right w:val="none"/>
            </w:tcBorders>
            <w:shd w:fill="F4F7FA" w:val="clear"/>
            <w:tcMar>
              <w:top w:type="dxa" w:w="60"/>
              <w:left w:type="dxa" w:w="100"/>
              <w:bottom w:type="dxa" w:w="60"/>
              <w:right w:type="dxa" w:w="60"/>
            </w:tcMar>
          </w:tcPr>
          <w:p>
            <w:pPr>
              <w:jc w:val="both"/>
            </w:pPr>
            <w:r>
              <w:rPr>
                <w:rFonts w:ascii="Georgia" w:cs="Georgia" w:eastAsia="Georgia" w:hAnsi="Georgia"/>
                <w:color w:val="1A1A1A"/>
                <w:sz w:val="18"/>
                <w:szCs w:val="18"/>
              </w:rPr>
              <w:t xml:space="preserve">Is the Senate's composition producing genuine academic voice? Are student participation mechanisms functioning?</w:t>
            </w:r>
          </w:p>
        </w:tc>
        <w:tc>
          <w:tcPr>
            <w:tcW w:type="dxa" w:w="1826"/>
            <w:tcBorders>
              <w:top w:val="none"/>
              <w:left w:val="none"/>
              <w:bottom w:val="none"/>
              <w:right w:val="none"/>
            </w:tcBorders>
            <w:shd w:fill="F4F7FA" w:val="clear"/>
            <w:tcMar>
              <w:top w:type="dxa" w:w="60"/>
              <w:left w:type="dxa" w:w="100"/>
              <w:bottom w:type="dxa" w:w="60"/>
              <w:right w:type="dxa" w:w="60"/>
            </w:tcMar>
          </w:tcPr>
          <w:p>
            <w:pPr>
              <w:jc w:val="both"/>
            </w:pPr>
            <w:r>
              <w:rPr>
                <w:rFonts w:ascii="Georgia" w:cs="Georgia" w:eastAsia="Georgia" w:hAnsi="Georgia"/>
                <w:i/>
                <w:iCs/>
                <w:color w:val="4A5568"/>
                <w:sz w:val="18"/>
                <w:szCs w:val="18"/>
              </w:rPr>
              <w:t xml:space="preserve">G1 designates reviewer</w:t>
            </w:r>
          </w:p>
        </w:tc>
      </w:tr>
      <w:tr>
        <w:tc>
          <w:tcPr>
            <w:tcW w:type="dxa" w:w="2200"/>
            <w:tcBorders>
              <w:top w:val="none"/>
              <w:left w:val="none"/>
              <w:bottom w:val="none"/>
              <w:right w:val="none"/>
            </w:tcBorders>
            <w:shd w:fill="1F3864" w:val="clear"/>
            <w:tcMar>
              <w:top w:type="dxa" w:w="60"/>
              <w:left w:type="dxa" w:w="100"/>
              <w:bottom w:type="dxa" w:w="60"/>
              <w:right w:type="dxa" w:w="60"/>
            </w:tcMar>
          </w:tcPr>
          <w:p>
            <w:r>
              <w:rPr>
                <w:rFonts w:ascii="Georgia" w:cs="Georgia" w:eastAsia="Georgia" w:hAnsi="Georgia"/>
                <w:b/>
                <w:bCs/>
                <w:color w:val="FFFFFF"/>
                <w:sz w:val="19"/>
                <w:szCs w:val="19"/>
              </w:rPr>
              <w:t xml:space="preserve">Quality Commission</w:t>
            </w:r>
          </w:p>
        </w:tc>
        <w:tc>
          <w:tcPr>
            <w:tcW w:type="dxa" w:w="800"/>
            <w:tcBorders>
              <w:top w:val="none"/>
              <w:left w:val="none"/>
              <w:bottom w:val="none"/>
              <w:right w:val="none"/>
            </w:tcBorders>
            <w:shd w:fill="FFFFFF" w:val="clear"/>
            <w:tcMar>
              <w:top w:type="dxa" w:w="60"/>
              <w:left w:type="dxa" w:w="80"/>
              <w:bottom w:type="dxa" w:w="60"/>
              <w:right w:type="dxa" w:w="60"/>
            </w:tcMar>
          </w:tcPr>
          <w:p>
            <w:pPr>
              <w:jc w:val="center"/>
            </w:pPr>
            <w:r>
              <w:rPr>
                <w:rFonts w:ascii="Arial" w:cs="Arial" w:eastAsia="Arial" w:hAnsi="Arial"/>
                <w:b/>
                <w:bCs/>
                <w:color w:val="2E75B6"/>
                <w:sz w:val="16"/>
                <w:szCs w:val="16"/>
              </w:rPr>
              <w:t xml:space="preserve">G3</w:t>
            </w:r>
          </w:p>
        </w:tc>
        <w:tc>
          <w:tcPr>
            <w:tcW w:type="dxa" w:w="1600"/>
            <w:tcBorders>
              <w:top w:val="none"/>
              <w:left w:val="none"/>
              <w:bottom w:val="none"/>
              <w:right w:val="none"/>
            </w:tcBorders>
            <w:shd w:fill="FFFFFF" w:val="clear"/>
            <w:tcMar>
              <w:top w:type="dxa" w:w="60"/>
              <w:left w:type="dxa" w:w="100"/>
              <w:bottom w:type="dxa" w:w="60"/>
              <w:right w:type="dxa" w:w="60"/>
            </w:tcMar>
          </w:tcPr>
          <w:p>
            <w:r>
              <w:rPr>
                <w:rFonts w:ascii="Arial" w:cs="Arial" w:eastAsia="Arial" w:hAnsi="Arial"/>
                <w:i/>
                <w:iCs/>
                <w:color w:val="4A5568"/>
                <w:sz w:val="17"/>
                <w:szCs w:val="17"/>
              </w:rPr>
              <w:t xml:space="preserve">Every 3 years</w:t>
            </w:r>
          </w:p>
        </w:tc>
        <w:tc>
          <w:tcPr>
            <w:tcW w:type="dxa" w:w="2600"/>
            <w:tcBorders>
              <w:top w:val="none"/>
              <w:left w:val="none"/>
              <w:bottom w:val="none"/>
              <w:right w:val="none"/>
            </w:tcBorders>
            <w:shd w:fill="FFFFFF" w:val="clear"/>
            <w:tcMar>
              <w:top w:type="dxa" w:w="60"/>
              <w:left w:type="dxa" w:w="100"/>
              <w:bottom w:type="dxa" w:w="60"/>
              <w:right w:type="dxa" w:w="60"/>
            </w:tcMar>
          </w:tcPr>
          <w:p>
            <w:pPr>
              <w:jc w:val="both"/>
            </w:pPr>
            <w:r>
              <w:rPr>
                <w:rFonts w:ascii="Georgia" w:cs="Georgia" w:eastAsia="Georgia" w:hAnsi="Georgia"/>
                <w:color w:val="1A1A1A"/>
                <w:sz w:val="18"/>
                <w:szCs w:val="18"/>
              </w:rPr>
              <w:t xml:space="preserve">Is the Stichprobe producing actionable quality intelligence? Is the Commission's independence from G2 being maintained?</w:t>
            </w:r>
          </w:p>
        </w:tc>
        <w:tc>
          <w:tcPr>
            <w:tcW w:type="dxa" w:w="1826"/>
            <w:tcBorders>
              <w:top w:val="none"/>
              <w:left w:val="none"/>
              <w:bottom w:val="none"/>
              <w:right w:val="none"/>
            </w:tcBorders>
            <w:shd w:fill="FFFFFF" w:val="clear"/>
            <w:tcMar>
              <w:top w:type="dxa" w:w="60"/>
              <w:left w:type="dxa" w:w="100"/>
              <w:bottom w:type="dxa" w:w="60"/>
              <w:right w:type="dxa" w:w="60"/>
            </w:tcMar>
          </w:tcPr>
          <w:p>
            <w:pPr>
              <w:jc w:val="both"/>
            </w:pPr>
            <w:r>
              <w:rPr>
                <w:rFonts w:ascii="Georgia" w:cs="Georgia" w:eastAsia="Georgia" w:hAnsi="Georgia"/>
                <w:i/>
                <w:iCs/>
                <w:color w:val="4A5568"/>
                <w:sz w:val="18"/>
                <w:szCs w:val="18"/>
              </w:rPr>
              <w:t xml:space="preserve">G1 designates reviewer</w:t>
            </w:r>
          </w:p>
        </w:tc>
      </w:tr>
      <w:tr>
        <w:tc>
          <w:tcPr>
            <w:tcW w:type="dxa" w:w="2200"/>
            <w:tcBorders>
              <w:top w:val="none"/>
              <w:left w:val="none"/>
              <w:bottom w:val="none"/>
              <w:right w:val="none"/>
            </w:tcBorders>
            <w:shd w:fill="1F3864" w:val="clear"/>
            <w:tcMar>
              <w:top w:type="dxa" w:w="60"/>
              <w:left w:type="dxa" w:w="100"/>
              <w:bottom w:type="dxa" w:w="60"/>
              <w:right w:type="dxa" w:w="60"/>
            </w:tcMar>
          </w:tcPr>
          <w:p>
            <w:r>
              <w:rPr>
                <w:rFonts w:ascii="Georgia" w:cs="Georgia" w:eastAsia="Georgia" w:hAnsi="Georgia"/>
                <w:b/>
                <w:bCs/>
                <w:color w:val="FFFFFF"/>
                <w:sz w:val="19"/>
                <w:szCs w:val="19"/>
              </w:rPr>
              <w:t xml:space="preserve">Mission Hub Steering Groups</w:t>
            </w:r>
          </w:p>
        </w:tc>
        <w:tc>
          <w:tcPr>
            <w:tcW w:type="dxa" w:w="800"/>
            <w:tcBorders>
              <w:top w:val="none"/>
              <w:left w:val="none"/>
              <w:bottom w:val="none"/>
              <w:right w:val="none"/>
            </w:tcBorders>
            <w:shd w:fill="F4F7FA" w:val="clear"/>
            <w:tcMar>
              <w:top w:type="dxa" w:w="60"/>
              <w:left w:type="dxa" w:w="80"/>
              <w:bottom w:type="dxa" w:w="60"/>
              <w:right w:type="dxa" w:w="60"/>
            </w:tcMar>
          </w:tcPr>
          <w:p>
            <w:pPr>
              <w:jc w:val="center"/>
            </w:pPr>
            <w:r>
              <w:rPr>
                <w:rFonts w:ascii="Arial" w:cs="Arial" w:eastAsia="Arial" w:hAnsi="Arial"/>
                <w:b/>
                <w:bCs/>
                <w:color w:val="2E75B6"/>
                <w:sz w:val="16"/>
                <w:szCs w:val="16"/>
              </w:rPr>
              <w:t xml:space="preserve">G3/4</w:t>
            </w:r>
          </w:p>
        </w:tc>
        <w:tc>
          <w:tcPr>
            <w:tcW w:type="dxa" w:w="1600"/>
            <w:tcBorders>
              <w:top w:val="none"/>
              <w:left w:val="none"/>
              <w:bottom w:val="none"/>
              <w:right w:val="none"/>
            </w:tcBorders>
            <w:shd w:fill="F4F7FA" w:val="clear"/>
            <w:tcMar>
              <w:top w:type="dxa" w:w="60"/>
              <w:left w:type="dxa" w:w="100"/>
              <w:bottom w:type="dxa" w:w="60"/>
              <w:right w:type="dxa" w:w="60"/>
            </w:tcMar>
          </w:tcPr>
          <w:p>
            <w:r>
              <w:rPr>
                <w:rFonts w:ascii="Arial" w:cs="Arial" w:eastAsia="Arial" w:hAnsi="Arial"/>
                <w:i/>
                <w:iCs/>
                <w:color w:val="4A5568"/>
                <w:sz w:val="17"/>
                <w:szCs w:val="17"/>
              </w:rPr>
              <w:t xml:space="preserve">Every 2 years</w:t>
            </w:r>
          </w:p>
        </w:tc>
        <w:tc>
          <w:tcPr>
            <w:tcW w:type="dxa" w:w="2600"/>
            <w:tcBorders>
              <w:top w:val="none"/>
              <w:left w:val="none"/>
              <w:bottom w:val="none"/>
              <w:right w:val="none"/>
            </w:tcBorders>
            <w:shd w:fill="F4F7FA" w:val="clear"/>
            <w:tcMar>
              <w:top w:type="dxa" w:w="60"/>
              <w:left w:type="dxa" w:w="100"/>
              <w:bottom w:type="dxa" w:w="60"/>
              <w:right w:type="dxa" w:w="60"/>
            </w:tcMar>
          </w:tcPr>
          <w:p>
            <w:pPr>
              <w:jc w:val="both"/>
            </w:pPr>
            <w:r>
              <w:rPr>
                <w:rFonts w:ascii="Georgia" w:cs="Georgia" w:eastAsia="Georgia" w:hAnsi="Georgia"/>
                <w:color w:val="1A1A1A"/>
                <w:sz w:val="18"/>
                <w:szCs w:val="18"/>
              </w:rPr>
              <w:t xml:space="preserve">Is the Hub still organised around a societal challenge with strategic relevance? Is it functioning as home and challenge?</w:t>
            </w:r>
          </w:p>
        </w:tc>
        <w:tc>
          <w:tcPr>
            <w:tcW w:type="dxa" w:w="1826"/>
            <w:tcBorders>
              <w:top w:val="none"/>
              <w:left w:val="none"/>
              <w:bottom w:val="none"/>
              <w:right w:val="none"/>
            </w:tcBorders>
            <w:shd w:fill="F4F7FA" w:val="clear"/>
            <w:tcMar>
              <w:top w:type="dxa" w:w="60"/>
              <w:left w:type="dxa" w:w="100"/>
              <w:bottom w:type="dxa" w:w="60"/>
              <w:right w:type="dxa" w:w="60"/>
            </w:tcMar>
          </w:tcPr>
          <w:p>
            <w:pPr>
              <w:jc w:val="both"/>
            </w:pPr>
            <w:r>
              <w:rPr>
                <w:rFonts w:ascii="Georgia" w:cs="Georgia" w:eastAsia="Georgia" w:hAnsi="Georgia"/>
                <w:i/>
                <w:iCs/>
                <w:color w:val="4A5568"/>
                <w:sz w:val="18"/>
                <w:szCs w:val="18"/>
              </w:rPr>
              <w:t xml:space="preserve">Senate Chair reviews</w:t>
            </w:r>
          </w:p>
        </w:tc>
      </w:tr>
      <w:tr>
        <w:tc>
          <w:tcPr>
            <w:tcW w:type="dxa" w:w="2200"/>
            <w:tcBorders>
              <w:top w:val="none"/>
              <w:left w:val="none"/>
              <w:bottom w:val="none"/>
              <w:right w:val="none"/>
            </w:tcBorders>
            <w:shd w:fill="1F3864" w:val="clear"/>
            <w:tcMar>
              <w:top w:type="dxa" w:w="60"/>
              <w:left w:type="dxa" w:w="100"/>
              <w:bottom w:type="dxa" w:w="60"/>
              <w:right w:type="dxa" w:w="60"/>
            </w:tcMar>
          </w:tcPr>
          <w:p>
            <w:r>
              <w:rPr>
                <w:rFonts w:ascii="Georgia" w:cs="Georgia" w:eastAsia="Georgia" w:hAnsi="Georgia"/>
                <w:b/>
                <w:bCs/>
                <w:color w:val="FFFFFF"/>
                <w:sz w:val="19"/>
                <w:szCs w:val="19"/>
              </w:rPr>
              <w:t xml:space="preserve">Programme Development Forum</w:t>
            </w:r>
          </w:p>
        </w:tc>
        <w:tc>
          <w:tcPr>
            <w:tcW w:type="dxa" w:w="800"/>
            <w:tcBorders>
              <w:top w:val="none"/>
              <w:left w:val="none"/>
              <w:bottom w:val="none"/>
              <w:right w:val="none"/>
            </w:tcBorders>
            <w:shd w:fill="FFFFFF" w:val="clear"/>
            <w:tcMar>
              <w:top w:type="dxa" w:w="60"/>
              <w:left w:type="dxa" w:w="80"/>
              <w:bottom w:type="dxa" w:w="60"/>
              <w:right w:type="dxa" w:w="60"/>
            </w:tcMar>
          </w:tcPr>
          <w:p>
            <w:pPr>
              <w:jc w:val="center"/>
            </w:pPr>
            <w:r>
              <w:rPr>
                <w:rFonts w:ascii="Arial" w:cs="Arial" w:eastAsia="Arial" w:hAnsi="Arial"/>
                <w:b/>
                <w:bCs/>
                <w:color w:val="2E75B6"/>
                <w:sz w:val="16"/>
                <w:szCs w:val="16"/>
              </w:rPr>
              <w:t xml:space="preserve">Joint</w:t>
            </w:r>
          </w:p>
        </w:tc>
        <w:tc>
          <w:tcPr>
            <w:tcW w:type="dxa" w:w="1600"/>
            <w:tcBorders>
              <w:top w:val="none"/>
              <w:left w:val="none"/>
              <w:bottom w:val="none"/>
              <w:right w:val="none"/>
            </w:tcBorders>
            <w:shd w:fill="FFFFFF" w:val="clear"/>
            <w:tcMar>
              <w:top w:type="dxa" w:w="60"/>
              <w:left w:type="dxa" w:w="100"/>
              <w:bottom w:type="dxa" w:w="60"/>
              <w:right w:type="dxa" w:w="60"/>
            </w:tcMar>
          </w:tcPr>
          <w:p>
            <w:r>
              <w:rPr>
                <w:rFonts w:ascii="Arial" w:cs="Arial" w:eastAsia="Arial" w:hAnsi="Arial"/>
                <w:i/>
                <w:iCs/>
                <w:color w:val="4A5568"/>
                <w:sz w:val="17"/>
                <w:szCs w:val="17"/>
              </w:rPr>
              <w:t xml:space="preserve">Every 2 years</w:t>
            </w:r>
          </w:p>
        </w:tc>
        <w:tc>
          <w:tcPr>
            <w:tcW w:type="dxa" w:w="2600"/>
            <w:tcBorders>
              <w:top w:val="none"/>
              <w:left w:val="none"/>
              <w:bottom w:val="none"/>
              <w:right w:val="none"/>
            </w:tcBorders>
            <w:shd w:fill="FFFFFF" w:val="clear"/>
            <w:tcMar>
              <w:top w:type="dxa" w:w="60"/>
              <w:left w:type="dxa" w:w="100"/>
              <w:bottom w:type="dxa" w:w="60"/>
              <w:right w:type="dxa" w:w="60"/>
            </w:tcMar>
          </w:tcPr>
          <w:p>
            <w:pPr>
              <w:jc w:val="both"/>
            </w:pPr>
            <w:r>
              <w:rPr>
                <w:rFonts w:ascii="Georgia" w:cs="Georgia" w:eastAsia="Georgia" w:hAnsi="Georgia"/>
                <w:color w:val="1A1A1A"/>
                <w:sz w:val="18"/>
                <w:szCs w:val="18"/>
              </w:rPr>
              <w:t xml:space="preserve">Is partner input genuinely influencing programme design? Is the Forum producing Decision Accounts?</w:t>
            </w:r>
          </w:p>
        </w:tc>
        <w:tc>
          <w:tcPr>
            <w:tcW w:type="dxa" w:w="1826"/>
            <w:tcBorders>
              <w:top w:val="none"/>
              <w:left w:val="none"/>
              <w:bottom w:val="none"/>
              <w:right w:val="none"/>
            </w:tcBorders>
            <w:shd w:fill="FFFFFF" w:val="clear"/>
            <w:tcMar>
              <w:top w:type="dxa" w:w="60"/>
              <w:left w:type="dxa" w:w="100"/>
              <w:bottom w:type="dxa" w:w="60"/>
              <w:right w:type="dxa" w:w="60"/>
            </w:tcMar>
          </w:tcPr>
          <w:p>
            <w:pPr>
              <w:jc w:val="both"/>
            </w:pPr>
            <w:r>
              <w:rPr>
                <w:rFonts w:ascii="Georgia" w:cs="Georgia" w:eastAsia="Georgia" w:hAnsi="Georgia"/>
                <w:i/>
                <w:iCs/>
                <w:color w:val="4A5568"/>
                <w:sz w:val="18"/>
                <w:szCs w:val="18"/>
              </w:rPr>
              <w:t xml:space="preserve">Partnership Office Lead reviews</w:t>
            </w:r>
          </w:p>
        </w:tc>
      </w:tr>
      <w:tr>
        <w:tc>
          <w:tcPr>
            <w:tcW w:type="dxa" w:w="2200"/>
            <w:tcBorders>
              <w:top w:val="none"/>
              <w:left w:val="none"/>
              <w:bottom w:val="none"/>
              <w:right w:val="none"/>
            </w:tcBorders>
            <w:shd w:fill="1F3864" w:val="clear"/>
            <w:tcMar>
              <w:top w:type="dxa" w:w="60"/>
              <w:left w:type="dxa" w:w="100"/>
              <w:bottom w:type="dxa" w:w="60"/>
              <w:right w:type="dxa" w:w="60"/>
            </w:tcMar>
          </w:tcPr>
          <w:p>
            <w:r>
              <w:rPr>
                <w:rFonts w:ascii="Georgia" w:cs="Georgia" w:eastAsia="Georgia" w:hAnsi="Georgia"/>
                <w:b/>
                <w:bCs/>
                <w:color w:val="FFFFFF"/>
                <w:sz w:val="19"/>
                <w:szCs w:val="19"/>
              </w:rPr>
              <w:t xml:space="preserve">Senate Committees</w:t>
            </w:r>
          </w:p>
        </w:tc>
        <w:tc>
          <w:tcPr>
            <w:tcW w:type="dxa" w:w="800"/>
            <w:tcBorders>
              <w:top w:val="none"/>
              <w:left w:val="none"/>
              <w:bottom w:val="none"/>
              <w:right w:val="none"/>
            </w:tcBorders>
            <w:shd w:fill="F4F7FA" w:val="clear"/>
            <w:tcMar>
              <w:top w:type="dxa" w:w="60"/>
              <w:left w:type="dxa" w:w="80"/>
              <w:bottom w:type="dxa" w:w="60"/>
              <w:right w:type="dxa" w:w="60"/>
            </w:tcMar>
          </w:tcPr>
          <w:p>
            <w:pPr>
              <w:jc w:val="center"/>
            </w:pPr>
            <w:r>
              <w:rPr>
                <w:rFonts w:ascii="Arial" w:cs="Arial" w:eastAsia="Arial" w:hAnsi="Arial"/>
                <w:b/>
                <w:bCs/>
                <w:color w:val="2E75B6"/>
                <w:sz w:val="16"/>
                <w:szCs w:val="16"/>
              </w:rPr>
              <w:t xml:space="preserve">G3</w:t>
            </w:r>
          </w:p>
        </w:tc>
        <w:tc>
          <w:tcPr>
            <w:tcW w:type="dxa" w:w="1600"/>
            <w:tcBorders>
              <w:top w:val="none"/>
              <w:left w:val="none"/>
              <w:bottom w:val="none"/>
              <w:right w:val="none"/>
            </w:tcBorders>
            <w:shd w:fill="F4F7FA" w:val="clear"/>
            <w:tcMar>
              <w:top w:type="dxa" w:w="60"/>
              <w:left w:type="dxa" w:w="100"/>
              <w:bottom w:type="dxa" w:w="60"/>
              <w:right w:type="dxa" w:w="60"/>
            </w:tcMar>
          </w:tcPr>
          <w:p>
            <w:r>
              <w:rPr>
                <w:rFonts w:ascii="Arial" w:cs="Arial" w:eastAsia="Arial" w:hAnsi="Arial"/>
                <w:i/>
                <w:iCs/>
                <w:color w:val="4A5568"/>
                <w:sz w:val="17"/>
                <w:szCs w:val="17"/>
              </w:rPr>
              <w:t xml:space="preserve">Every 2 years</w:t>
            </w:r>
          </w:p>
        </w:tc>
        <w:tc>
          <w:tcPr>
            <w:tcW w:type="dxa" w:w="2600"/>
            <w:tcBorders>
              <w:top w:val="none"/>
              <w:left w:val="none"/>
              <w:bottom w:val="none"/>
              <w:right w:val="none"/>
            </w:tcBorders>
            <w:shd w:fill="F4F7FA" w:val="clear"/>
            <w:tcMar>
              <w:top w:type="dxa" w:w="60"/>
              <w:left w:type="dxa" w:w="100"/>
              <w:bottom w:type="dxa" w:w="60"/>
              <w:right w:type="dxa" w:w="60"/>
            </w:tcMar>
          </w:tcPr>
          <w:p>
            <w:pPr>
              <w:jc w:val="both"/>
            </w:pPr>
            <w:r>
              <w:rPr>
                <w:rFonts w:ascii="Georgia" w:cs="Georgia" w:eastAsia="Georgia" w:hAnsi="Georgia"/>
                <w:color w:val="1A1A1A"/>
                <w:sz w:val="18"/>
                <w:szCs w:val="18"/>
              </w:rPr>
              <w:t xml:space="preserve">Is each committee's mandate distinct and non-duplicative? Is it producing outputs that feed governance decisions?</w:t>
            </w:r>
          </w:p>
        </w:tc>
        <w:tc>
          <w:tcPr>
            <w:tcW w:type="dxa" w:w="1826"/>
            <w:tcBorders>
              <w:top w:val="none"/>
              <w:left w:val="none"/>
              <w:bottom w:val="none"/>
              <w:right w:val="none"/>
            </w:tcBorders>
            <w:shd w:fill="F4F7FA" w:val="clear"/>
            <w:tcMar>
              <w:top w:type="dxa" w:w="60"/>
              <w:left w:type="dxa" w:w="100"/>
              <w:bottom w:type="dxa" w:w="60"/>
              <w:right w:type="dxa" w:w="60"/>
            </w:tcMar>
          </w:tcPr>
          <w:p>
            <w:pPr>
              <w:jc w:val="both"/>
            </w:pPr>
            <w:r>
              <w:rPr>
                <w:rFonts w:ascii="Georgia" w:cs="Georgia" w:eastAsia="Georgia" w:hAnsi="Georgia"/>
                <w:i/>
                <w:iCs/>
                <w:color w:val="4A5568"/>
                <w:sz w:val="18"/>
                <w:szCs w:val="18"/>
              </w:rPr>
              <w:t xml:space="preserve">Senate Chair reviews</w:t>
            </w:r>
          </w:p>
        </w:tc>
      </w:tr>
      <w:tr>
        <w:tc>
          <w:tcPr>
            <w:tcW w:type="dxa" w:w="2200"/>
            <w:tcBorders>
              <w:top w:val="none"/>
              <w:left w:val="none"/>
              <w:bottom w:val="none"/>
              <w:right w:val="none"/>
            </w:tcBorders>
            <w:shd w:fill="1F3864" w:val="clear"/>
            <w:tcMar>
              <w:top w:type="dxa" w:w="60"/>
              <w:left w:type="dxa" w:w="100"/>
              <w:bottom w:type="dxa" w:w="60"/>
              <w:right w:type="dxa" w:w="60"/>
            </w:tcMar>
          </w:tcPr>
          <w:p>
            <w:r>
              <w:rPr>
                <w:rFonts w:ascii="Georgia" w:cs="Georgia" w:eastAsia="Georgia" w:hAnsi="Georgia"/>
                <w:b/>
                <w:bCs/>
                <w:color w:val="FFFFFF"/>
                <w:sz w:val="19"/>
                <w:szCs w:val="19"/>
              </w:rPr>
              <w:t xml:space="preserve">Partnership Office</w:t>
            </w:r>
          </w:p>
        </w:tc>
        <w:tc>
          <w:tcPr>
            <w:tcW w:type="dxa" w:w="800"/>
            <w:tcBorders>
              <w:top w:val="none"/>
              <w:left w:val="none"/>
              <w:bottom w:val="none"/>
              <w:right w:val="none"/>
            </w:tcBorders>
            <w:shd w:fill="FFFFFF" w:val="clear"/>
            <w:tcMar>
              <w:top w:type="dxa" w:w="60"/>
              <w:left w:type="dxa" w:w="80"/>
              <w:bottom w:type="dxa" w:w="60"/>
              <w:right w:type="dxa" w:w="60"/>
            </w:tcMar>
          </w:tcPr>
          <w:p>
            <w:pPr>
              <w:jc w:val="center"/>
            </w:pPr>
            <w:r>
              <w:rPr>
                <w:rFonts w:ascii="Arial" w:cs="Arial" w:eastAsia="Arial" w:hAnsi="Arial"/>
                <w:b/>
                <w:bCs/>
                <w:color w:val="2E75B6"/>
                <w:sz w:val="16"/>
                <w:szCs w:val="16"/>
              </w:rPr>
              <w:t xml:space="preserve">G4</w:t>
            </w:r>
          </w:p>
        </w:tc>
        <w:tc>
          <w:tcPr>
            <w:tcW w:type="dxa" w:w="1600"/>
            <w:tcBorders>
              <w:top w:val="none"/>
              <w:left w:val="none"/>
              <w:bottom w:val="none"/>
              <w:right w:val="none"/>
            </w:tcBorders>
            <w:shd w:fill="FFFFFF" w:val="clear"/>
            <w:tcMar>
              <w:top w:type="dxa" w:w="60"/>
              <w:left w:type="dxa" w:w="100"/>
              <w:bottom w:type="dxa" w:w="60"/>
              <w:right w:type="dxa" w:w="60"/>
            </w:tcMar>
          </w:tcPr>
          <w:p>
            <w:r>
              <w:rPr>
                <w:rFonts w:ascii="Arial" w:cs="Arial" w:eastAsia="Arial" w:hAnsi="Arial"/>
                <w:i/>
                <w:iCs/>
                <w:color w:val="4A5568"/>
                <w:sz w:val="17"/>
                <w:szCs w:val="17"/>
              </w:rPr>
              <w:t xml:space="preserve">Every 3 years</w:t>
            </w:r>
          </w:p>
        </w:tc>
        <w:tc>
          <w:tcPr>
            <w:tcW w:type="dxa" w:w="2600"/>
            <w:tcBorders>
              <w:top w:val="none"/>
              <w:left w:val="none"/>
              <w:bottom w:val="none"/>
              <w:right w:val="none"/>
            </w:tcBorders>
            <w:shd w:fill="FFFFFF" w:val="clear"/>
            <w:tcMar>
              <w:top w:type="dxa" w:w="60"/>
              <w:left w:type="dxa" w:w="100"/>
              <w:bottom w:type="dxa" w:w="60"/>
              <w:right w:type="dxa" w:w="60"/>
            </w:tcMar>
          </w:tcPr>
          <w:p>
            <w:pPr>
              <w:jc w:val="both"/>
            </w:pPr>
            <w:r>
              <w:rPr>
                <w:rFonts w:ascii="Georgia" w:cs="Georgia" w:eastAsia="Georgia" w:hAnsi="Georgia"/>
                <w:color w:val="1A1A1A"/>
                <w:sz w:val="18"/>
                <w:szCs w:val="18"/>
              </w:rPr>
              <w:t xml:space="preserve">Is the Partnership Office functioning as intelligence function (not only compliance)? Is the three-layer crossing architecture operational?</w:t>
            </w:r>
          </w:p>
        </w:tc>
        <w:tc>
          <w:tcPr>
            <w:tcW w:type="dxa" w:w="1826"/>
            <w:tcBorders>
              <w:top w:val="none"/>
              <w:left w:val="none"/>
              <w:bottom w:val="none"/>
              <w:right w:val="none"/>
            </w:tcBorders>
            <w:shd w:fill="FFFFFF" w:val="clear"/>
            <w:tcMar>
              <w:top w:type="dxa" w:w="60"/>
              <w:left w:type="dxa" w:w="100"/>
              <w:bottom w:type="dxa" w:w="60"/>
              <w:right w:type="dxa" w:w="60"/>
            </w:tcMar>
          </w:tcPr>
          <w:p>
            <w:pPr>
              <w:jc w:val="both"/>
            </w:pPr>
            <w:r>
              <w:rPr>
                <w:rFonts w:ascii="Georgia" w:cs="Georgia" w:eastAsia="Georgia" w:hAnsi="Georgia"/>
                <w:i/>
                <w:iCs/>
                <w:color w:val="4A5568"/>
                <w:sz w:val="18"/>
                <w:szCs w:val="18"/>
              </w:rPr>
              <w:t xml:space="preserve">G2 reviews with G3 input</w:t>
            </w:r>
          </w:p>
        </w:tc>
      </w:tr>
      <w:tr>
        <w:tc>
          <w:tcPr>
            <w:tcW w:type="dxa" w:w="2200"/>
            <w:tcBorders>
              <w:top w:val="none"/>
              <w:left w:val="none"/>
              <w:bottom w:val="none"/>
              <w:right w:val="none"/>
            </w:tcBorders>
            <w:shd w:fill="1F3864" w:val="clear"/>
            <w:tcMar>
              <w:top w:type="dxa" w:w="60"/>
              <w:left w:type="dxa" w:w="100"/>
              <w:bottom w:type="dxa" w:w="60"/>
              <w:right w:type="dxa" w:w="60"/>
            </w:tcMar>
          </w:tcPr>
          <w:p>
            <w:r>
              <w:rPr>
                <w:rFonts w:ascii="Georgia" w:cs="Georgia" w:eastAsia="Georgia" w:hAnsi="Georgia"/>
                <w:b/>
                <w:bCs/>
                <w:color w:val="FFFFFF"/>
                <w:sz w:val="19"/>
                <w:szCs w:val="19"/>
              </w:rPr>
              <w:t xml:space="preserve">Bug Protocol</w:t>
            </w:r>
          </w:p>
        </w:tc>
        <w:tc>
          <w:tcPr>
            <w:tcW w:type="dxa" w:w="800"/>
            <w:tcBorders>
              <w:top w:val="none"/>
              <w:left w:val="none"/>
              <w:bottom w:val="none"/>
              <w:right w:val="none"/>
            </w:tcBorders>
            <w:shd w:fill="F4F7FA" w:val="clear"/>
            <w:tcMar>
              <w:top w:type="dxa" w:w="60"/>
              <w:left w:type="dxa" w:w="80"/>
              <w:bottom w:type="dxa" w:w="60"/>
              <w:right w:type="dxa" w:w="60"/>
            </w:tcMar>
          </w:tcPr>
          <w:p>
            <w:pPr>
              <w:jc w:val="center"/>
            </w:pPr>
            <w:r>
              <w:rPr>
                <w:rFonts w:ascii="Arial" w:cs="Arial" w:eastAsia="Arial" w:hAnsi="Arial"/>
                <w:b/>
                <w:bCs/>
                <w:color w:val="2E75B6"/>
                <w:sz w:val="16"/>
                <w:szCs w:val="16"/>
              </w:rPr>
              <w:t xml:space="preserve">G4/OKR</w:t>
            </w:r>
          </w:p>
        </w:tc>
        <w:tc>
          <w:tcPr>
            <w:tcW w:type="dxa" w:w="1600"/>
            <w:tcBorders>
              <w:top w:val="none"/>
              <w:left w:val="none"/>
              <w:bottom w:val="none"/>
              <w:right w:val="none"/>
            </w:tcBorders>
            <w:shd w:fill="F4F7FA" w:val="clear"/>
            <w:tcMar>
              <w:top w:type="dxa" w:w="60"/>
              <w:left w:type="dxa" w:w="100"/>
              <w:bottom w:type="dxa" w:w="60"/>
              <w:right w:type="dxa" w:w="60"/>
            </w:tcMar>
          </w:tcPr>
          <w:p>
            <w:r>
              <w:rPr>
                <w:rFonts w:ascii="Arial" w:cs="Arial" w:eastAsia="Arial" w:hAnsi="Arial"/>
                <w:i/>
                <w:iCs/>
                <w:color w:val="4A5568"/>
                <w:sz w:val="17"/>
                <w:szCs w:val="17"/>
              </w:rPr>
              <w:t xml:space="preserve">Annual</w:t>
            </w:r>
          </w:p>
        </w:tc>
        <w:tc>
          <w:tcPr>
            <w:tcW w:type="dxa" w:w="2600"/>
            <w:tcBorders>
              <w:top w:val="none"/>
              <w:left w:val="none"/>
              <w:bottom w:val="none"/>
              <w:right w:val="none"/>
            </w:tcBorders>
            <w:shd w:fill="F4F7FA" w:val="clear"/>
            <w:tcMar>
              <w:top w:type="dxa" w:w="60"/>
              <w:left w:type="dxa" w:w="100"/>
              <w:bottom w:type="dxa" w:w="60"/>
              <w:right w:type="dxa" w:w="60"/>
            </w:tcMar>
          </w:tcPr>
          <w:p>
            <w:pPr>
              <w:jc w:val="both"/>
            </w:pPr>
            <w:r>
              <w:rPr>
                <w:rFonts w:ascii="Georgia" w:cs="Georgia" w:eastAsia="Georgia" w:hAnsi="Georgia"/>
                <w:color w:val="1A1A1A"/>
                <w:sz w:val="18"/>
                <w:szCs w:val="18"/>
              </w:rPr>
              <w:t xml:space="preserve">Is the Protocol producing structural responses (not individual blame)? Is it being used or avoided?</w:t>
            </w:r>
          </w:p>
        </w:tc>
        <w:tc>
          <w:tcPr>
            <w:tcW w:type="dxa" w:w="1826"/>
            <w:tcBorders>
              <w:top w:val="none"/>
              <w:left w:val="none"/>
              <w:bottom w:val="none"/>
              <w:right w:val="none"/>
            </w:tcBorders>
            <w:shd w:fill="F4F7FA" w:val="clear"/>
            <w:tcMar>
              <w:top w:type="dxa" w:w="60"/>
              <w:left w:type="dxa" w:w="100"/>
              <w:bottom w:type="dxa" w:w="60"/>
              <w:right w:type="dxa" w:w="60"/>
            </w:tcMar>
          </w:tcPr>
          <w:p>
            <w:pPr>
              <w:jc w:val="both"/>
            </w:pPr>
            <w:r>
              <w:rPr>
                <w:rFonts w:ascii="Georgia" w:cs="Georgia" w:eastAsia="Georgia" w:hAnsi="Georgia"/>
                <w:i/>
                <w:iCs/>
                <w:color w:val="4A5568"/>
                <w:sz w:val="18"/>
                <w:szCs w:val="18"/>
              </w:rPr>
              <w:t xml:space="preserve">Rector reviews; G1 noting</w:t>
            </w:r>
          </w:p>
        </w:tc>
      </w:tr>
      <w:tr>
        <w:tc>
          <w:tcPr>
            <w:tcW w:type="dxa" w:w="2200"/>
            <w:tcBorders>
              <w:top w:val="none"/>
              <w:left w:val="none"/>
              <w:bottom w:val="none"/>
              <w:right w:val="none"/>
            </w:tcBorders>
            <w:shd w:fill="1F3864" w:val="clear"/>
            <w:tcMar>
              <w:top w:type="dxa" w:w="60"/>
              <w:left w:type="dxa" w:w="100"/>
              <w:bottom w:type="dxa" w:w="60"/>
              <w:right w:type="dxa" w:w="60"/>
            </w:tcMar>
          </w:tcPr>
          <w:p>
            <w:r>
              <w:rPr>
                <w:rFonts w:ascii="Georgia" w:cs="Georgia" w:eastAsia="Georgia" w:hAnsi="Georgia"/>
                <w:b/>
                <w:bCs/>
                <w:color w:val="FFFFFF"/>
                <w:sz w:val="19"/>
                <w:szCs w:val="19"/>
              </w:rPr>
              <w:t xml:space="preserve">Governance Mentor Pool</w:t>
            </w:r>
          </w:p>
        </w:tc>
        <w:tc>
          <w:tcPr>
            <w:tcW w:type="dxa" w:w="800"/>
            <w:tcBorders>
              <w:top w:val="none"/>
              <w:left w:val="none"/>
              <w:bottom w:val="none"/>
              <w:right w:val="none"/>
            </w:tcBorders>
            <w:shd w:fill="FFFFFF" w:val="clear"/>
            <w:tcMar>
              <w:top w:type="dxa" w:w="60"/>
              <w:left w:type="dxa" w:w="80"/>
              <w:bottom w:type="dxa" w:w="60"/>
              <w:right w:type="dxa" w:w="60"/>
            </w:tcMar>
          </w:tcPr>
          <w:p>
            <w:pPr>
              <w:jc w:val="center"/>
            </w:pPr>
            <w:r>
              <w:rPr>
                <w:rFonts w:ascii="Arial" w:cs="Arial" w:eastAsia="Arial" w:hAnsi="Arial"/>
                <w:b/>
                <w:bCs/>
                <w:color w:val="2E75B6"/>
                <w:sz w:val="16"/>
                <w:szCs w:val="16"/>
              </w:rPr>
              <w:t xml:space="preserve">Cross-layer</w:t>
            </w:r>
          </w:p>
        </w:tc>
        <w:tc>
          <w:tcPr>
            <w:tcW w:type="dxa" w:w="1600"/>
            <w:tcBorders>
              <w:top w:val="none"/>
              <w:left w:val="none"/>
              <w:bottom w:val="none"/>
              <w:right w:val="none"/>
            </w:tcBorders>
            <w:shd w:fill="FFFFFF" w:val="clear"/>
            <w:tcMar>
              <w:top w:type="dxa" w:w="60"/>
              <w:left w:type="dxa" w:w="100"/>
              <w:bottom w:type="dxa" w:w="60"/>
              <w:right w:type="dxa" w:w="60"/>
            </w:tcMar>
          </w:tcPr>
          <w:p>
            <w:r>
              <w:rPr>
                <w:rFonts w:ascii="Arial" w:cs="Arial" w:eastAsia="Arial" w:hAnsi="Arial"/>
                <w:i/>
                <w:iCs/>
                <w:color w:val="4A5568"/>
                <w:sz w:val="17"/>
                <w:szCs w:val="17"/>
              </w:rPr>
              <w:t xml:space="preserve">Every 2 years</w:t>
            </w:r>
          </w:p>
        </w:tc>
        <w:tc>
          <w:tcPr>
            <w:tcW w:type="dxa" w:w="2600"/>
            <w:tcBorders>
              <w:top w:val="none"/>
              <w:left w:val="none"/>
              <w:bottom w:val="none"/>
              <w:right w:val="none"/>
            </w:tcBorders>
            <w:shd w:fill="FFFFFF" w:val="clear"/>
            <w:tcMar>
              <w:top w:type="dxa" w:w="60"/>
              <w:left w:type="dxa" w:w="100"/>
              <w:bottom w:type="dxa" w:w="60"/>
              <w:right w:type="dxa" w:w="60"/>
            </w:tcMar>
          </w:tcPr>
          <w:p>
            <w:pPr>
              <w:jc w:val="both"/>
            </w:pPr>
            <w:r>
              <w:rPr>
                <w:rFonts w:ascii="Georgia" w:cs="Georgia" w:eastAsia="Georgia" w:hAnsi="Georgia"/>
                <w:color w:val="1A1A1A"/>
                <w:sz w:val="18"/>
                <w:szCs w:val="18"/>
              </w:rPr>
              <w:t xml:space="preserve">Are mentors providing genuine development support? Is the pool composition still relevant to current role-holder needs?</w:t>
            </w:r>
          </w:p>
        </w:tc>
        <w:tc>
          <w:tcPr>
            <w:tcW w:type="dxa" w:w="1826"/>
            <w:tcBorders>
              <w:top w:val="none"/>
              <w:left w:val="none"/>
              <w:bottom w:val="none"/>
              <w:right w:val="none"/>
            </w:tcBorders>
            <w:shd w:fill="FFFFFF" w:val="clear"/>
            <w:tcMar>
              <w:top w:type="dxa" w:w="60"/>
              <w:left w:type="dxa" w:w="100"/>
              <w:bottom w:type="dxa" w:w="60"/>
              <w:right w:type="dxa" w:w="60"/>
            </w:tcMar>
          </w:tcPr>
          <w:p>
            <w:pPr>
              <w:jc w:val="both"/>
            </w:pPr>
            <w:r>
              <w:rPr>
                <w:rFonts w:ascii="Georgia" w:cs="Georgia" w:eastAsia="Georgia" w:hAnsi="Georgia"/>
                <w:i/>
                <w:iCs/>
                <w:color w:val="4A5568"/>
                <w:sz w:val="18"/>
                <w:szCs w:val="18"/>
              </w:rPr>
              <w:t xml:space="preserve">G2/G3 joint review</w:t>
            </w:r>
          </w:p>
        </w:tc>
      </w:tr>
    </w:tbl>
    <w:p>
      <w:pPr>
        <w:spacing w:after="80" w:before="0"/>
      </w:pPr>
    </w:p>
    <w:p>
      <w:pPr>
        <w:pStyle w:val="Heading1"/>
        <w:spacing w:after="140" w:before="480"/>
      </w:pPr>
      <w:r>
        <w:rPr>
          <w:rFonts w:ascii="Georgia" w:cs="Georgia" w:eastAsia="Georgia" w:hAnsi="Georgia"/>
          <w:b/>
          <w:bCs/>
          <w:color w:val="1F3864"/>
          <w:sz w:val="30"/>
          <w:szCs w:val="30"/>
        </w:rPr>
        <w:t xml:space="preserve">III.  Unscheduled Reviews</w:t>
      </w:r>
    </w:p>
    <w:p>
      <w:pPr>
        <w:spacing w:after="185" w:before="0"/>
        <w:jc w:val="both"/>
      </w:pPr>
      <w:r>
        <w:rPr>
          <w:rFonts w:ascii="Georgia" w:cs="Georgia" w:eastAsia="Georgia" w:hAnsi="Georgia"/>
          <w:b w:val="false"/>
          <w:bCs w:val="false"/>
          <w:i w:val="false"/>
          <w:iCs w:val="false"/>
          <w:color w:val="1A1A1A"/>
          <w:sz w:val="23"/>
          <w:szCs w:val="23"/>
        </w:rPr>
        <w:t xml:space="preserve">Any governance structure may be submitted for an unscheduled review when: a significant external change occurs (new legislation, new accreditation requirements, significant change in the institution's learner population or partner network); three or more governance participants formally request a review in writing to the Hochschulrat; or the Rector or Senate Chair identifies a structural concern that cannot wait for the scheduled review date.</w:t>
      </w:r>
    </w:p>
    <w:p>
      <w:pPr>
        <w:spacing w:after="185" w:before="0"/>
        <w:jc w:val="both"/>
      </w:pPr>
      <w:r>
        <w:rPr>
          <w:rFonts w:ascii="Georgia" w:cs="Georgia" w:eastAsia="Georgia" w:hAnsi="Georgia"/>
          <w:b w:val="false"/>
          <w:bCs w:val="false"/>
          <w:i w:val="false"/>
          <w:iCs w:val="false"/>
          <w:color w:val="1A1A1A"/>
          <w:sz w:val="23"/>
          <w:szCs w:val="23"/>
        </w:rPr>
        <w:t xml:space="preserve">Unscheduled reviews follow the same three-step process as scheduled reviews. The Hochschulrat may commission an unscheduled review on its own initiative at any time. An unscheduled review does not reset the scheduled review clock — the next scheduled review proceeds as planned unless the Hochschulrat explicitly changes the schedule.</w:t>
      </w:r>
    </w:p>
    <w:p>
      <w:pPr>
        <w:spacing w:after="200" w:before="0"/>
      </w:pPr>
    </w:p>
    <w:p>
      <w:pPr>
        <w:pBdr>
          <w:bottom w:val="single" w:color="2E75B6" w:sz="4" w:space="1"/>
        </w:pBdr>
        <w:spacing w:after="120" w:before="200"/>
      </w:pPr>
    </w:p>
    <w:p>
      <w:pPr>
        <w:spacing w:after="0" w:before="120"/>
        <w:jc w:val="right"/>
      </w:pPr>
      <w:r>
        <w:rPr>
          <w:rFonts w:ascii="Arial" w:cs="Arial" w:eastAsia="Arial" w:hAnsi="Arial"/>
          <w:i/>
          <w:iCs/>
          <w:color w:val="BBBBBB"/>
          <w:sz w:val="16"/>
          <w:szCs w:val="16"/>
        </w:rPr>
        <w:t xml:space="preserve">Open University of Germany  ·  Governance Review Calendar  ·  SP-2 Gap Closure  ·  2026</w:t>
      </w:r>
    </w:p>
    <w:sectPr>
      <w:pgSz w:w="11906" w:h="16838" w:orient="portrait"/>
      <w:pgMar w:top="1300" w:right="1440" w:bottom="14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Georgia" w:cs="Georgia" w:eastAsia="Georgia" w:hAnsi="Georgia"/>
        <w:b/>
        <w:bCs/>
        <w:color w:val="2E75B6"/>
        <w:sz w:val="23"/>
        <w:szCs w:val="23"/>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80"/>
      <w:outlineLvl w:val="0"/>
    </w:pPr>
    <w:rPr>
      <w:rFonts w:ascii="Georgia" w:cs="Georgia" w:eastAsia="Georgia" w:hAnsi="Georgia"/>
      <w:b/>
      <w:bCs/>
      <w:color w:val="1F3864"/>
      <w:sz w:val="30"/>
      <w:szCs w:val="30"/>
    </w:rPr>
  </w:style>
  <w:style w:type="paragraph" w:styleId="Heading2">
    <w:name w:val="Heading 2"/>
    <w:basedOn w:val="Normal"/>
    <w:next w:val="Normal"/>
    <w:qFormat/>
    <w:pPr>
      <w:spacing w:after="100" w:before="300"/>
      <w:outlineLvl w:val="1"/>
    </w:pPr>
    <w:rPr>
      <w:rFonts w:ascii="Georgia" w:cs="Georgia" w:eastAsia="Georgia" w:hAnsi="Georgia"/>
      <w:b/>
      <w:bCs/>
      <w:color w:val="2E75B6"/>
      <w:sz w:val="25"/>
      <w:szCs w:val="25"/>
    </w:rPr>
  </w:style>
  <w:style w:type="paragraph" w:styleId="Heading3">
    <w:name w:val="Heading 3"/>
    <w:basedOn w:val="Normal"/>
    <w:next w:val="Normal"/>
    <w:qFormat/>
    <w:pPr>
      <w:spacing w:after="70" w:before="220"/>
      <w:outlineLvl w:val="2"/>
    </w:pPr>
    <w:rPr>
      <w:rFonts w:ascii="Arial" w:cs="Arial" w:eastAsia="Arial" w:hAnsi="Arial"/>
      <w:b/>
      <w:bCs/>
      <w:color w:val="1A5C4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2026-05-13T06:07:34.738Z</dcterms:created>
  <dcterms:modified xsi:type="dcterms:W3CDTF">2026-05-13T06:07:34.738Z</dcterms:modified>
</cp:coreProperties>
</file>

<file path=docProps/custom.xml><?xml version="1.0" encoding="utf-8"?>
<Properties xmlns="http://schemas.openxmlformats.org/officeDocument/2006/custom-properties" xmlns:vt="http://schemas.openxmlformats.org/officeDocument/2006/docPropsVTypes"/>
</file>