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0"/>
      </w:pPr>
      <w:r>
        <w:rPr>
          <w:rFonts w:ascii="Arial" w:cs="Arial" w:eastAsia="Arial" w:hAnsi="Arial"/>
          <w:b/>
          <w:bCs/>
          <w:caps/>
          <w:color w:val="2E75B6"/>
          <w:sz w:val="17"/>
          <w:szCs w:val="17"/>
        </w:rPr>
        <w:t xml:space="preserve">OPEN UNIVERSITY OF GERMANY  ·  ACADEMIC COMMUNITY</w:t>
      </w:r>
    </w:p>
    <w:p>
      <w:pPr>
        <w:spacing w:after="50" w:before="0"/>
      </w:pPr>
      <w:r>
        <w:rPr>
          <w:rFonts w:ascii="Arial" w:cs="Arial" w:eastAsia="Arial" w:hAnsi="Arial"/>
          <w:color w:val="AAAAAA"/>
          <w:sz w:val="17"/>
          <w:szCs w:val="17"/>
        </w:rPr>
        <w:t xml:space="preserve">Mission Hub Permeability Architecture  ·  2026</w:t>
      </w:r>
    </w:p>
    <w:p>
      <w:pPr>
        <w:pBdr>
          <w:bottom w:val="single" w:color="2E75B6" w:sz="8" w:space="1"/>
        </w:pBdr>
        <w:spacing w:after="240" w:before="0"/>
      </w:pPr>
    </w:p>
    <w:p>
      <w:pPr>
        <w:spacing w:after="40" w:before="0"/>
      </w:pPr>
      <w:r>
        <w:rPr>
          <w:rFonts w:ascii="Georgia" w:cs="Georgia" w:eastAsia="Georgia" w:hAnsi="Georgia"/>
          <w:b/>
          <w:bCs/>
          <w:color w:val="0D1F3C"/>
          <w:sz w:val="38"/>
          <w:szCs w:val="38"/>
        </w:rPr>
        <w:t xml:space="preserve">Mission Hub Permeability Architecture</w:t>
      </w:r>
    </w:p>
    <w:p>
      <w:pPr>
        <w:spacing w:after="280" w:before="0"/>
      </w:pPr>
      <w:r>
        <w:rPr>
          <w:rFonts w:ascii="Georgia" w:cs="Georgia" w:eastAsia="Georgia" w:hAnsi="Georgia"/>
          <w:i/>
          <w:iCs/>
          <w:color w:val="1F3864"/>
          <w:sz w:val="22"/>
          <w:szCs w:val="22"/>
        </w:rPr>
        <w:t xml:space="preserve">Designed Interfaces Between Mission Hubs — Preventing the New Silo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F4F7FA" w:val="clear"/>
            <w:tcMar>
              <w:top w:type="dxa" w:w="180"/>
              <w:left w:type="dxa" w:w="260"/>
              <w:bottom w:type="dxa" w:w="180"/>
              <w:right w:type="dxa" w:w="260"/>
            </w:tcMar>
          </w:tcPr>
          <w:p>
            <w:pPr>
              <w:spacing w:after="60" w:before="0"/>
            </w:pPr>
            <w:r>
              <w:rPr>
                <w:rFonts w:ascii="Arial" w:cs="Arial" w:eastAsia="Arial" w:hAnsi="Arial"/>
                <w:b/>
                <w:bCs/>
                <w:color w:val="1F3864"/>
                <w:sz w:val="17"/>
                <w:szCs w:val="17"/>
              </w:rPr>
              <w:t xml:space="preserve">The problem this document addresses</w:t>
            </w:r>
          </w:p>
          <w:p>
            <w:pPr>
              <w:spacing w:after="90" w:before="0"/>
              <w:jc w:val="both"/>
            </w:pPr>
            <w:r>
              <w:rPr>
                <w:rFonts w:ascii="Georgia" w:cs="Georgia" w:eastAsia="Georgia" w:hAnsi="Georgia"/>
                <w:color w:val="1A1A1A"/>
                <w:sz w:val="22"/>
                <w:szCs w:val="22"/>
              </w:rPr>
              <w:t xml:space="preserve">The OUG replaced traditional disciplinary faculties with Mission Hubs — organisational units structured around societal challenges rather than inherited departmental boundaries. This was a deliberate response to the Comfortable Silo antipattern (AP-21). But the solution to one kind of silo can become the seed of another. A Mission Hub that develops a strong community identity, a shared intellectual culture, and a stable membership will — without designed interfaces to the wider institution — develop exactly the insularity that the faculty model produced.</w:t>
            </w:r>
          </w:p>
          <w:p>
            <w:pPr>
              <w:spacing w:after="0" w:before="0"/>
              <w:jc w:val="both"/>
            </w:pPr>
            <w:r>
              <w:rPr>
                <w:rFonts w:ascii="Georgia" w:cs="Georgia" w:eastAsia="Georgia" w:hAnsi="Georgia"/>
                <w:i/>
                <w:iCs/>
                <w:color w:val="4A5568"/>
                <w:sz w:val="22"/>
                <w:szCs w:val="22"/>
              </w:rPr>
              <w:t xml:space="preserve">This document specifies the Permeability Architecture: the designed interfaces between Mission Hubs that ensure each Hub is simultaneously a home and a challenge. These interfaces are not optional enrichments. They are governance requirements — standing features of the OUG's academic design that every Hub must maintain, and that are reviewed annually alongside the Hub's academic plan.</w:t>
            </w:r>
          </w:p>
        </w:tc>
      </w:tr>
    </w:tbl>
    <w:p>
      <w:pPr>
        <w:spacing w:after="200" w:before="0"/>
      </w:pPr>
    </w:p>
    <w:p>
      <w:pPr>
        <w:pStyle w:val="Heading1"/>
        <w:spacing w:after="140" w:before="480"/>
      </w:pPr>
      <w:r>
        <w:rPr>
          <w:rFonts w:ascii="Georgia" w:cs="Georgia" w:eastAsia="Georgia" w:hAnsi="Georgia"/>
          <w:b/>
          <w:bCs/>
          <w:color w:val="1F3864"/>
          <w:sz w:val="30"/>
          <w:szCs w:val="30"/>
        </w:rPr>
        <w:t xml:space="preserve">I.  The Four Permeability Mechanisms</w:t>
      </w:r>
    </w:p>
    <w:p>
      <w:pPr>
        <w:spacing w:after="185" w:before="0"/>
        <w:jc w:val="both"/>
      </w:pPr>
      <w:r>
        <w:rPr>
          <w:rFonts w:ascii="Georgia" w:cs="Georgia" w:eastAsia="Georgia" w:hAnsi="Georgia"/>
          <w:b w:val="false"/>
          <w:bCs w:val="false"/>
          <w:i w:val="false"/>
          <w:iCs w:val="false"/>
          <w:color w:val="1A1A1A"/>
          <w:sz w:val="23"/>
          <w:szCs w:val="23"/>
        </w:rPr>
        <w:t xml:space="preserve">Every Mission Hub must maintain four designed interfaces with the wider OUG community and with the external intellectual environment. These four mechanisms together constitute the Hub's Permeability Architecture. Each is specified below with its purpose, its minimum operational standard, and how it is reviewed.</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90"/>
              <w:left w:type="dxa" w:w="200"/>
              <w:bottom w:type="dxa" w:w="90"/>
              <w:right w:type="dxa" w:w="160"/>
            </w:tcMar>
          </w:tcPr>
          <w:p>
            <w:pPr>
              <w:spacing w:after="12" w:before="0"/>
            </w:pPr>
            <w:r>
              <w:rPr>
                <w:rFonts w:ascii="Arial" w:cs="Arial" w:eastAsia="Arial" w:hAnsi="Arial"/>
                <w:color w:val="8899BB"/>
                <w:sz w:val="14"/>
                <w:szCs w:val="14"/>
              </w:rPr>
              <w:t xml:space="preserve">Frequency: minimum once per semester per Hub | Format: open to all OUG contributors</w:t>
            </w:r>
          </w:p>
          <w:p>
            <w:pPr>
              <w:spacing w:after="0" w:before="0"/>
            </w:pPr>
            <w:r>
              <w:rPr>
                <w:rFonts w:ascii="Georgia" w:cs="Georgia" w:eastAsia="Georgia" w:hAnsi="Georgia"/>
                <w:b/>
                <w:bCs/>
                <w:color w:val="FFFFFF"/>
                <w:sz w:val="24"/>
                <w:szCs w:val="24"/>
              </w:rPr>
              <w:t xml:space="preserve">Mechanism 1 — The Cross-Hub Research Seminar</w:t>
            </w:r>
          </w:p>
        </w:tc>
      </w:tr>
    </w:tbl>
    <w:p>
      <w:pPr>
        <w:spacing w:after="50" w:before="0"/>
      </w:pPr>
    </w:p>
    <w:p>
      <w:pPr>
        <w:spacing w:after="185" w:before="0"/>
        <w:jc w:val="both"/>
      </w:pPr>
      <w:r>
        <w:rPr>
          <w:rFonts w:ascii="Georgia" w:cs="Georgia" w:eastAsia="Georgia" w:hAnsi="Georgia"/>
          <w:b w:val="false"/>
          <w:bCs w:val="false"/>
          <w:i w:val="false"/>
          <w:iCs w:val="false"/>
          <w:color w:val="1A1A1A"/>
          <w:sz w:val="23"/>
          <w:szCs w:val="23"/>
        </w:rPr>
        <w:t xml:space="preserve">Each Mission Hub convenes a research seminar at least once per semester that is explicitly open to contributors from all other Hubs and from partner institutions. The seminar programme is published on the OUG platform at least four weeks in advance. At least one session per academic year must feature a presenter from a different Mission Hub or from a partner institution — not from the convening Hub.</w:t>
      </w:r>
    </w:p>
    <w:p>
      <w:pPr>
        <w:spacing w:after="80" w:before="0"/>
        <w:jc w:val="both"/>
      </w:pPr>
      <w:r>
        <w:rPr>
          <w:rFonts w:ascii="Georgia" w:cs="Georgia" w:eastAsia="Georgia" w:hAnsi="Georgia"/>
          <w:b w:val="false"/>
          <w:bCs w:val="false"/>
          <w:i w:val="false"/>
          <w:iCs w:val="false"/>
          <w:color w:val="1A1A1A"/>
          <w:sz w:val="23"/>
          <w:szCs w:val="23"/>
        </w:rPr>
        <w:t xml:space="preserve">The purpose of this mechanism is to create regular occasions for intellectual encounter across Hub boundaries. A Hub that consistently presents only its own work to its own members has no designed friction. A Hub that regularly encounters work from different intellectual traditions has the productive friction that prevents insularity.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5C4A" w:val="clear"/>
            <w:tcMar>
              <w:top w:type="dxa" w:w="90"/>
              <w:left w:type="dxa" w:w="200"/>
              <w:bottom w:type="dxa" w:w="90"/>
              <w:right w:type="dxa" w:w="160"/>
            </w:tcMar>
          </w:tcPr>
          <w:p>
            <w:pPr>
              <w:spacing w:after="12" w:before="0"/>
            </w:pPr>
            <w:r>
              <w:rPr>
                <w:rFonts w:ascii="Arial" w:cs="Arial" w:eastAsia="Arial" w:hAnsi="Arial"/>
                <w:color w:val="8899BB"/>
                <w:sz w:val="14"/>
                <w:szCs w:val="14"/>
              </w:rPr>
              <w:t xml:space="preserve">Frequency: at least one active cross-Hub project per Hub per year | Governance: joint Mission Hub Steering Group oversight</w:t>
            </w:r>
          </w:p>
          <w:p>
            <w:pPr>
              <w:spacing w:after="0" w:before="0"/>
            </w:pPr>
            <w:r>
              <w:rPr>
                <w:rFonts w:ascii="Georgia" w:cs="Georgia" w:eastAsia="Georgia" w:hAnsi="Georgia"/>
                <w:b/>
                <w:bCs/>
                <w:color w:val="FFFFFF"/>
                <w:sz w:val="24"/>
                <w:szCs w:val="24"/>
              </w:rPr>
              <w:t xml:space="preserve">Mechanism 2 — The Cross-Hub Project Strand</w:t>
            </w:r>
          </w:p>
        </w:tc>
      </w:tr>
    </w:tbl>
    <w:p>
      <w:pPr>
        <w:spacing w:after="50" w:before="0"/>
      </w:pPr>
    </w:p>
    <w:p>
      <w:pPr>
        <w:spacing w:after="185" w:before="0"/>
        <w:jc w:val="both"/>
      </w:pPr>
      <w:r>
        <w:rPr>
          <w:rFonts w:ascii="Georgia" w:cs="Georgia" w:eastAsia="Georgia" w:hAnsi="Georgia"/>
          <w:b w:val="false"/>
          <w:bCs w:val="false"/>
          <w:i w:val="false"/>
          <w:iCs w:val="false"/>
          <w:color w:val="1A1A1A"/>
          <w:sz w:val="23"/>
          <w:szCs w:val="23"/>
        </w:rPr>
        <w:t xml:space="preserve">Each Mission Hub must maintain at least one active collaborative project with at least one other Mission Hub. A collaborative project is defined as a project with named contributors from at least two Hubs, a joint deliverable, and a joint entry in the OUG OKR system. Projects may be research, curriculum development, community engagement, or any other substantive academic activity.</w:t>
      </w:r>
    </w:p>
    <w:p>
      <w:pPr>
        <w:spacing w:after="80" w:before="0"/>
        <w:jc w:val="both"/>
      </w:pPr>
      <w:r>
        <w:rPr>
          <w:rFonts w:ascii="Georgia" w:cs="Georgia" w:eastAsia="Georgia" w:hAnsi="Georgia"/>
          <w:b w:val="false"/>
          <w:bCs w:val="false"/>
          <w:i w:val="false"/>
          <w:iCs w:val="false"/>
          <w:color w:val="1A1A1A"/>
          <w:sz w:val="23"/>
          <w:szCs w:val="23"/>
        </w:rPr>
        <w:t xml:space="preserve">The Partnership Office maintains a Cross-Hub Project Register, updated quarterly. The register is reviewed by the Senate at its annual academic session. A Hub with no active cross-Hub projects for two consecutive quarters triggers an automatic legitimacy conversation with the Senate Chair — not as a disciplinary matter, but as an inquiry into whether structural support is needed to create the connection.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75B6" w:val="clear"/>
            <w:tcMar>
              <w:top w:type="dxa" w:w="90"/>
              <w:left w:type="dxa" w:w="200"/>
              <w:bottom w:type="dxa" w:w="90"/>
              <w:right w:type="dxa" w:w="160"/>
            </w:tcMar>
          </w:tcPr>
          <w:p>
            <w:pPr>
              <w:spacing w:after="12" w:before="0"/>
            </w:pPr>
            <w:r>
              <w:rPr>
                <w:rFonts w:ascii="Arial" w:cs="Arial" w:eastAsia="Arial" w:hAnsi="Arial"/>
                <w:color w:val="8899BB"/>
                <w:sz w:val="14"/>
                <w:szCs w:val="14"/>
              </w:rPr>
              <w:t xml:space="preserve">Frequency: annual rotation | Governance: Senate oversees composition</w:t>
            </w:r>
          </w:p>
          <w:p>
            <w:pPr>
              <w:spacing w:after="0" w:before="0"/>
            </w:pPr>
            <w:r>
              <w:rPr>
                <w:rFonts w:ascii="Georgia" w:cs="Georgia" w:eastAsia="Georgia" w:hAnsi="Georgia"/>
                <w:b/>
                <w:bCs/>
                <w:color w:val="FFFFFF"/>
                <w:sz w:val="24"/>
                <w:szCs w:val="24"/>
              </w:rPr>
              <w:t xml:space="preserve">Mechanism 3 — Rotating Joint Governance Membership</w:t>
            </w:r>
          </w:p>
        </w:tc>
      </w:tr>
    </w:tbl>
    <w:p>
      <w:pPr>
        <w:spacing w:after="50" w:before="0"/>
      </w:pPr>
    </w:p>
    <w:p>
      <w:pPr>
        <w:spacing w:after="185" w:before="0"/>
        <w:jc w:val="both"/>
      </w:pPr>
      <w:r>
        <w:rPr>
          <w:rFonts w:ascii="Georgia" w:cs="Georgia" w:eastAsia="Georgia" w:hAnsi="Georgia"/>
          <w:b w:val="false"/>
          <w:bCs w:val="false"/>
          <w:i w:val="false"/>
          <w:iCs w:val="false"/>
          <w:color w:val="1A1A1A"/>
          <w:sz w:val="23"/>
          <w:szCs w:val="23"/>
        </w:rPr>
        <w:t xml:space="preserve">Each Mission Hub Steering Group includes one rotating member from another Mission Hub, serving a one-year term. The rotating member is nominated by the Senate and confirmed by the receiving Hub's Steering Group. They attend all Steering Group meetings, may speak on any item, and have full access to the Hub's governance documentation. They do not hold voting rights on decisions that are exclusively internal to the Hub.</w:t>
      </w:r>
    </w:p>
    <w:p>
      <w:pPr>
        <w:spacing w:after="80" w:before="0"/>
        <w:jc w:val="both"/>
      </w:pPr>
      <w:r>
        <w:rPr>
          <w:rFonts w:ascii="Georgia" w:cs="Georgia" w:eastAsia="Georgia" w:hAnsi="Georgia"/>
          <w:b w:val="false"/>
          <w:bCs w:val="false"/>
          <w:i w:val="false"/>
          <w:iCs w:val="false"/>
          <w:color w:val="1A1A1A"/>
          <w:sz w:val="23"/>
          <w:szCs w:val="23"/>
        </w:rPr>
        <w:t xml:space="preserve">The purpose of this mechanism is to ensure that each Hub's internal governance is regularly encountered by someone whose primary loyalty is to a different community. The rotating member brings a perspective that the Hub's own members cannot have — the perspective of the adjacent community looking in. This is not surveillance. It is productive friction built into the governance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90"/>
              <w:left w:type="dxa" w:w="200"/>
              <w:bottom w:type="dxa" w:w="90"/>
              <w:right w:type="dxa" w:w="160"/>
            </w:tcMar>
          </w:tcPr>
          <w:p>
            <w:pPr>
              <w:spacing w:after="12" w:before="0"/>
            </w:pPr>
            <w:r>
              <w:rPr>
                <w:rFonts w:ascii="Arial" w:cs="Arial" w:eastAsia="Arial" w:hAnsi="Arial"/>
                <w:color w:val="8899BB"/>
                <w:sz w:val="14"/>
                <w:szCs w:val="14"/>
              </w:rPr>
              <w:t xml:space="preserve">Frequency: annual | Reviewed alongside Hub academic plan</w:t>
            </w:r>
          </w:p>
          <w:p>
            <w:pPr>
              <w:spacing w:after="0" w:before="0"/>
            </w:pPr>
            <w:r>
              <w:rPr>
                <w:rFonts w:ascii="Georgia" w:cs="Georgia" w:eastAsia="Georgia" w:hAnsi="Georgia"/>
                <w:b/>
                <w:bCs/>
                <w:color w:val="FFFFFF"/>
                <w:sz w:val="24"/>
                <w:szCs w:val="24"/>
              </w:rPr>
              <w:t xml:space="preserve">Mechanism 4 — The Annual Permeability Review</w:t>
            </w:r>
          </w:p>
        </w:tc>
      </w:tr>
    </w:tbl>
    <w:p>
      <w:pPr>
        <w:spacing w:after="50" w:before="0"/>
      </w:pPr>
    </w:p>
    <w:p>
      <w:pPr>
        <w:spacing w:after="185" w:before="0"/>
        <w:jc w:val="both"/>
      </w:pPr>
      <w:r>
        <w:rPr>
          <w:rFonts w:ascii="Georgia" w:cs="Georgia" w:eastAsia="Georgia" w:hAnsi="Georgia"/>
          <w:b w:val="false"/>
          <w:bCs w:val="false"/>
          <w:i w:val="false"/>
          <w:iCs w:val="false"/>
          <w:color w:val="1A1A1A"/>
          <w:sz w:val="23"/>
          <w:szCs w:val="23"/>
        </w:rPr>
        <w:t xml:space="preserve">Each Mission Hub produces an annual Permeability Statement as part of its academic plan review. The Statement addresses three questions: How many contributors from other Hubs or partner institutions participated in the Hub's activities this year? What was the most significant intellectual challenge the Hub encountered from outside its own community — and how did it respond? Where is the Hub's current intellectual boundary, and is that boundary in the right place?</w:t>
      </w:r>
    </w:p>
    <w:p>
      <w:pPr>
        <w:spacing w:after="185" w:before="0"/>
        <w:jc w:val="both"/>
      </w:pPr>
      <w:r>
        <w:rPr>
          <w:rFonts w:ascii="Georgia" w:cs="Georgia" w:eastAsia="Georgia" w:hAnsi="Georgia"/>
          <w:b w:val="false"/>
          <w:bCs w:val="false"/>
          <w:i w:val="false"/>
          <w:iCs w:val="false"/>
          <w:color w:val="1A1A1A"/>
          <w:sz w:val="23"/>
          <w:szCs w:val="23"/>
        </w:rPr>
        <w:t xml:space="preserve">The Permeability Statement is reviewed by the Senate alongside the Hub's academic plan. The Senate's review asks one question: is this Hub functioning as a home that challenges, or as a comfortable silo? If the review produces a concern, the Senate and the Hub agree a development plan. If the review produces no concern, the Hub is confirmed and the Statement is archived.</w:t>
      </w:r>
    </w:p>
    <w:p>
      <w:pPr>
        <w:spacing w:after="200" w:before="0"/>
      </w:pPr>
    </w:p>
    <w:p>
      <w:pPr>
        <w:pStyle w:val="Heading1"/>
        <w:spacing w:after="140" w:before="480"/>
      </w:pPr>
      <w:r>
        <w:rPr>
          <w:rFonts w:ascii="Georgia" w:cs="Georgia" w:eastAsia="Georgia" w:hAnsi="Georgia"/>
          <w:b/>
          <w:bCs/>
          <w:color w:val="1F3864"/>
          <w:sz w:val="30"/>
          <w:szCs w:val="30"/>
        </w:rPr>
        <w:t xml:space="preserve">II.  What Permeability Is Not</w:t>
      </w:r>
    </w:p>
    <w:p>
      <w:pPr>
        <w:spacing w:after="185" w:before="0"/>
        <w:jc w:val="both"/>
      </w:pPr>
      <w:r>
        <w:rPr>
          <w:rFonts w:ascii="Georgia" w:cs="Georgia" w:eastAsia="Georgia" w:hAnsi="Georgia"/>
          <w:b w:val="false"/>
          <w:bCs w:val="false"/>
          <w:i w:val="false"/>
          <w:iCs w:val="false"/>
          <w:color w:val="1A1A1A"/>
          <w:sz w:val="23"/>
          <w:szCs w:val="23"/>
        </w:rPr>
        <w:t xml:space="preserve">Permeability is not the dissolution of Hub identity. A Hub that is required to collaborate so extensively that its members have no stable intellectual community is not a Hub — it is a matrix structure without homes, which the dialogue evidence shows to be consistently unsuccessful. The four mechanisms above are minimum requirements, not maximum limits. A Hub may be more permeable than this architecture requires. It may not be less.</w:t>
      </w:r>
    </w:p>
    <w:p>
      <w:pPr>
        <w:spacing w:after="185" w:before="0"/>
        <w:jc w:val="both"/>
      </w:pPr>
      <w:r>
        <w:rPr>
          <w:rFonts w:ascii="Georgia" w:cs="Georgia" w:eastAsia="Georgia" w:hAnsi="Georgia"/>
          <w:b w:val="false"/>
          <w:bCs w:val="false"/>
          <w:i w:val="false"/>
          <w:iCs w:val="false"/>
          <w:color w:val="1A1A1A"/>
          <w:sz w:val="23"/>
          <w:szCs w:val="23"/>
        </w:rPr>
        <w:t xml:space="preserve">Permeability is also not diversity for its own sake. The purpose is specific: to ensure that each Hub encounters intellectual perspectives that its own culture cannot generate, and that this encounter is regular enough to prevent insularity from taking hold. A Hub that invites external presenters but never engages with their ideas has the form of permeability without the substance. The annual Permeability Review exists precisely to distinguish between the two.</w:t>
      </w:r>
    </w:p>
    <w:p>
      <w:pPr>
        <w:spacing w:after="200" w:before="0"/>
      </w:pPr>
    </w:p>
    <w:p>
      <w:pPr>
        <w:pBdr>
          <w:bottom w:val="single" w:color="2E75B6" w:sz="4" w:space="1"/>
        </w:pBdr>
        <w:spacing w:after="120" w:before="200"/>
      </w:pPr>
    </w:p>
    <w:p>
      <w:pPr>
        <w:spacing w:after="0" w:before="120"/>
        <w:jc w:val="right"/>
      </w:pPr>
      <w:r>
        <w:rPr>
          <w:rFonts w:ascii="Arial" w:cs="Arial" w:eastAsia="Arial" w:hAnsi="Arial"/>
          <w:i/>
          <w:iCs/>
          <w:color w:val="BBBBBB"/>
          <w:sz w:val="16"/>
          <w:szCs w:val="16"/>
        </w:rPr>
        <w:t xml:space="preserve">Open University of Germany  ·  Mission Hub Permeability Architecture  ·  SP-3 Gap Closure  ·  2026</w:t>
      </w:r>
    </w:p>
    <w:sectPr>
      <w:pgSz w:w="11906" w:h="16838" w:orient="portrait"/>
      <w:pgMar w:top="1300" w:right="1440" w:bottom="14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Georgia" w:cs="Georgia" w:eastAsia="Georgia" w:hAnsi="Georgia"/>
        <w:b/>
        <w:bCs/>
        <w:color w:val="2E75B6"/>
        <w:sz w:val="23"/>
        <w:szCs w:val="23"/>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80"/>
      <w:outlineLvl w:val="0"/>
    </w:pPr>
    <w:rPr>
      <w:rFonts w:ascii="Georgia" w:cs="Georgia" w:eastAsia="Georgia" w:hAnsi="Georgia"/>
      <w:b/>
      <w:bCs/>
      <w:color w:val="1F3864"/>
      <w:sz w:val="30"/>
      <w:szCs w:val="30"/>
    </w:rPr>
  </w:style>
  <w:style w:type="paragraph" w:styleId="Heading2">
    <w:name w:val="Heading 2"/>
    <w:basedOn w:val="Normal"/>
    <w:next w:val="Normal"/>
    <w:qFormat/>
    <w:pPr>
      <w:spacing w:after="100" w:before="300"/>
      <w:outlineLvl w:val="1"/>
    </w:pPr>
    <w:rPr>
      <w:rFonts w:ascii="Georgia" w:cs="Georgia" w:eastAsia="Georgia" w:hAnsi="Georgia"/>
      <w:b/>
      <w:bCs/>
      <w:color w:val="2E75B6"/>
      <w:sz w:val="25"/>
      <w:szCs w:val="25"/>
    </w:rPr>
  </w:style>
  <w:style w:type="paragraph" w:styleId="Heading3">
    <w:name w:val="Heading 3"/>
    <w:basedOn w:val="Normal"/>
    <w:next w:val="Normal"/>
    <w:qFormat/>
    <w:pPr>
      <w:spacing w:after="70" w:before="220"/>
      <w:outlineLvl w:val="2"/>
    </w:pPr>
    <w:rPr>
      <w:rFonts w:ascii="Arial" w:cs="Arial" w:eastAsia="Arial" w:hAnsi="Arial"/>
      <w:b/>
      <w:bCs/>
      <w:color w:val="1A5C4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2026-05-13T06:07:34.741Z</dcterms:created>
  <dcterms:modified xsi:type="dcterms:W3CDTF">2026-05-13T06:07:34.741Z</dcterms:modified>
</cp:coreProperties>
</file>

<file path=docProps/custom.xml><?xml version="1.0" encoding="utf-8"?>
<Properties xmlns="http://schemas.openxmlformats.org/officeDocument/2006/custom-properties" xmlns:vt="http://schemas.openxmlformats.org/officeDocument/2006/docPropsVTypes"/>
</file>